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4B0" w:rsidRPr="005924B0" w:rsidRDefault="009120FA"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Pr>
          <w:rFonts w:ascii="Times New Roman" w:eastAsiaTheme="minorEastAsia" w:hAnsi="Times New Roman" w:cs="Times New Roman"/>
          <w:b/>
          <w:bCs/>
          <w:sz w:val="28"/>
          <w:szCs w:val="28"/>
          <w:lang w:eastAsia="pl-PL"/>
        </w:rPr>
        <w:t xml:space="preserve"> </w:t>
      </w:r>
      <w:r w:rsidR="005924B0" w:rsidRPr="005924B0">
        <w:rPr>
          <w:rFonts w:ascii="Times New Roman" w:eastAsiaTheme="minorEastAsia" w:hAnsi="Times New Roman" w:cs="Times New Roman"/>
          <w:b/>
          <w:bCs/>
          <w:sz w:val="28"/>
          <w:szCs w:val="28"/>
          <w:lang w:eastAsia="pl-PL"/>
        </w:rPr>
        <w:t> </w:t>
      </w:r>
    </w:p>
    <w:p w:rsidR="005924B0" w:rsidRPr="005924B0" w:rsidRDefault="00854F2C"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Pr>
          <w:rFonts w:ascii="Times New Roman" w:eastAsiaTheme="minorEastAsia" w:hAnsi="Times New Roman" w:cs="Times New Roman"/>
          <w:sz w:val="28"/>
          <w:szCs w:val="28"/>
          <w:lang w:eastAsia="pl-PL"/>
        </w:rPr>
        <w:t xml:space="preserve"> SPECYFIKACJA TECHNICZNA</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8"/>
          <w:szCs w:val="28"/>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8"/>
          <w:szCs w:val="28"/>
          <w:lang w:eastAsia="pl-PL"/>
        </w:rPr>
        <w:t>D – 04.07.01a</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8"/>
          <w:szCs w:val="28"/>
          <w:lang w:eastAsia="pl-PL"/>
        </w:rPr>
        <w:t xml:space="preserve">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8"/>
          <w:szCs w:val="28"/>
          <w:lang w:eastAsia="pl-PL"/>
        </w:rPr>
        <w:t>PODBUDOWA Z BETONU ASFALTOWEGO</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8"/>
          <w:szCs w:val="28"/>
          <w:lang w:eastAsia="pl-PL"/>
        </w:rPr>
        <w:t>wg WT-1 i </w:t>
      </w:r>
      <w:r w:rsidR="004976DE">
        <w:rPr>
          <w:rFonts w:ascii="Times New Roman" w:eastAsiaTheme="minorEastAsia" w:hAnsi="Times New Roman" w:cs="Times New Roman"/>
          <w:b/>
          <w:bCs/>
          <w:sz w:val="28"/>
          <w:szCs w:val="28"/>
          <w:lang w:eastAsia="pl-PL"/>
        </w:rPr>
        <w:t>W</w:t>
      </w:r>
      <w:r w:rsidRPr="005924B0">
        <w:rPr>
          <w:rFonts w:ascii="Times New Roman" w:eastAsiaTheme="minorEastAsia" w:hAnsi="Times New Roman" w:cs="Times New Roman"/>
          <w:b/>
          <w:bCs/>
          <w:sz w:val="28"/>
          <w:szCs w:val="28"/>
          <w:lang w:eastAsia="pl-PL"/>
        </w:rPr>
        <w:t xml:space="preserve">T-2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8"/>
          <w:szCs w:val="28"/>
          <w:lang w:eastAsia="pl-PL"/>
        </w:rPr>
        <w:t> </w:t>
      </w:r>
    </w:p>
    <w:p w:rsidR="005924B0" w:rsidRPr="005924B0" w:rsidRDefault="005924B0" w:rsidP="005924B0">
      <w:pPr>
        <w:overflowPunct w:val="0"/>
        <w:autoSpaceDE w:val="0"/>
        <w:autoSpaceDN w:val="0"/>
        <w:spacing w:after="120" w:line="240" w:lineRule="auto"/>
        <w:jc w:val="center"/>
        <w:rPr>
          <w:rFonts w:ascii="Times New Roman" w:eastAsiaTheme="minorEastAsia" w:hAnsi="Times New Roman" w:cs="Times New Roman"/>
          <w:sz w:val="24"/>
          <w:szCs w:val="24"/>
          <w:lang w:eastAsia="pl-PL"/>
        </w:rPr>
      </w:pPr>
    </w:p>
    <w:p w:rsidR="005924B0" w:rsidRPr="005924B0" w:rsidRDefault="005924B0" w:rsidP="00854F2C">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imes New Roman" w:hAnsi="Times New Roman" w:cs="Times New Roman"/>
          <w:b/>
          <w:bCs/>
          <w:sz w:val="28"/>
          <w:szCs w:val="28"/>
          <w:lang w:eastAsia="pl-PL"/>
        </w:rPr>
        <w:br w:type="page"/>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w:t>
      </w:r>
    </w:p>
    <w:p w:rsidR="005924B0" w:rsidRPr="005924B0" w:rsidRDefault="005924B0" w:rsidP="005924B0">
      <w:pPr>
        <w:overflowPunct w:val="0"/>
        <w:autoSpaceDE w:val="0"/>
        <w:autoSpaceDN w:val="0"/>
        <w:spacing w:before="24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SPIS TREŚCI</w:t>
      </w:r>
    </w:p>
    <w:p w:rsidR="005924B0" w:rsidRPr="005924B0" w:rsidRDefault="005924B0" w:rsidP="005924B0">
      <w:pPr>
        <w:tabs>
          <w:tab w:val="right" w:leader="dot" w:pos="9061"/>
        </w:tabs>
        <w:overflowPunct w:val="0"/>
        <w:autoSpaceDE w:val="0"/>
        <w:autoSpaceDN w:val="0"/>
        <w:spacing w:after="0" w:line="240" w:lineRule="auto"/>
        <w:ind w:left="113"/>
        <w:jc w:val="both"/>
        <w:rPr>
          <w:rFonts w:eastAsiaTheme="minorEastAsia"/>
          <w:noProof/>
          <w:lang w:eastAsia="pl-PL"/>
        </w:rPr>
      </w:pPr>
      <w:r w:rsidRPr="005924B0">
        <w:rPr>
          <w:rFonts w:ascii="Times New Roman" w:eastAsiaTheme="minorEastAsia" w:hAnsi="Times New Roman" w:cs="Times New Roman"/>
          <w:color w:val="0000FF"/>
          <w:sz w:val="24"/>
          <w:szCs w:val="24"/>
          <w:u w:val="single"/>
          <w:lang w:eastAsia="pl-PL"/>
        </w:rPr>
        <w:fldChar w:fldCharType="begin"/>
      </w:r>
      <w:r w:rsidRPr="005924B0">
        <w:rPr>
          <w:rFonts w:ascii="Times New Roman" w:eastAsiaTheme="minorEastAsia" w:hAnsi="Times New Roman" w:cs="Times New Roman"/>
          <w:color w:val="0000FF"/>
          <w:sz w:val="24"/>
          <w:szCs w:val="24"/>
          <w:u w:val="single"/>
          <w:lang w:eastAsia="pl-PL"/>
        </w:rPr>
        <w:instrText xml:space="preserve"> TOC \o "1-1" \h \z \u </w:instrText>
      </w:r>
      <w:r w:rsidRPr="005924B0">
        <w:rPr>
          <w:rFonts w:ascii="Times New Roman" w:eastAsiaTheme="minorEastAsia" w:hAnsi="Times New Roman" w:cs="Times New Roman"/>
          <w:color w:val="0000FF"/>
          <w:sz w:val="24"/>
          <w:szCs w:val="24"/>
          <w:u w:val="single"/>
          <w:lang w:eastAsia="pl-PL"/>
        </w:rPr>
        <w:fldChar w:fldCharType="separate"/>
      </w:r>
      <w:hyperlink r:id="rId5" w:anchor="_Toc461543718" w:history="1">
        <w:r w:rsidRPr="005924B0">
          <w:rPr>
            <w:rFonts w:ascii="Times New Roman" w:eastAsia="Times New Roman" w:hAnsi="Times New Roman" w:cs="Times New Roman"/>
            <w:b/>
            <w:bCs/>
            <w:caps/>
            <w:noProof/>
            <w:color w:val="0000FF"/>
            <w:sz w:val="24"/>
            <w:szCs w:val="24"/>
            <w:u w:val="single"/>
            <w:lang w:eastAsia="pl-PL"/>
          </w:rPr>
          <w:t>1. Wstęp</w:t>
        </w:r>
        <w:r w:rsidRPr="005924B0">
          <w:rPr>
            <w:rFonts w:ascii="Times New Roman" w:eastAsiaTheme="minorEastAsia" w:hAnsi="Times New Roman" w:cs="Times New Roman"/>
            <w:b/>
            <w:bCs/>
            <w:caps/>
            <w:noProof/>
            <w:webHidden/>
            <w:color w:val="0000FF"/>
            <w:sz w:val="24"/>
            <w:szCs w:val="24"/>
            <w:u w:val="single"/>
            <w:lang w:eastAsia="pl-PL"/>
          </w:rPr>
          <w:tab/>
        </w:r>
        <w:r w:rsidRPr="005924B0">
          <w:rPr>
            <w:rFonts w:ascii="Times New Roman" w:eastAsiaTheme="minorEastAsia" w:hAnsi="Times New Roman" w:cs="Times New Roman"/>
            <w:b/>
            <w:bCs/>
            <w:caps/>
            <w:noProof/>
            <w:webHidden/>
            <w:color w:val="0000FF"/>
            <w:sz w:val="24"/>
            <w:szCs w:val="24"/>
            <w:u w:val="single"/>
            <w:lang w:eastAsia="pl-PL"/>
          </w:rPr>
          <w:fldChar w:fldCharType="begin"/>
        </w:r>
        <w:r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_Toc461543718 \h </w:instrText>
        </w:r>
        <w:r w:rsidRPr="005924B0">
          <w:rPr>
            <w:rFonts w:ascii="Times New Roman" w:eastAsiaTheme="minorEastAsia" w:hAnsi="Times New Roman" w:cs="Times New Roman"/>
            <w:b/>
            <w:bCs/>
            <w:caps/>
            <w:noProof/>
            <w:webHidden/>
            <w:color w:val="0000FF"/>
            <w:sz w:val="24"/>
            <w:szCs w:val="24"/>
            <w:u w:val="single"/>
            <w:lang w:eastAsia="pl-PL"/>
          </w:rPr>
        </w:r>
        <w:r w:rsidRPr="005924B0">
          <w:rPr>
            <w:rFonts w:ascii="Times New Roman" w:eastAsiaTheme="minorEastAsia" w:hAnsi="Times New Roman" w:cs="Times New Roman"/>
            <w:b/>
            <w:bCs/>
            <w:caps/>
            <w:noProof/>
            <w:webHidden/>
            <w:color w:val="0000FF"/>
            <w:sz w:val="24"/>
            <w:szCs w:val="24"/>
            <w:u w:val="single"/>
            <w:lang w:eastAsia="pl-PL"/>
          </w:rPr>
          <w:fldChar w:fldCharType="separate"/>
        </w:r>
        <w:r w:rsidRPr="005924B0">
          <w:rPr>
            <w:rFonts w:ascii="Times New Roman" w:eastAsiaTheme="minorEastAsia" w:hAnsi="Times New Roman" w:cs="Times New Roman"/>
            <w:b/>
            <w:bCs/>
            <w:caps/>
            <w:noProof/>
            <w:webHidden/>
            <w:color w:val="0000FF"/>
            <w:sz w:val="24"/>
            <w:szCs w:val="24"/>
            <w:u w:val="single"/>
            <w:lang w:eastAsia="pl-PL"/>
          </w:rPr>
          <w:t>3</w:t>
        </w:r>
        <w:r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ind w:left="113"/>
        <w:jc w:val="both"/>
        <w:rPr>
          <w:rFonts w:eastAsiaTheme="minorEastAsia"/>
          <w:noProof/>
          <w:lang w:eastAsia="pl-PL"/>
        </w:rPr>
      </w:pPr>
      <w:hyperlink r:id="rId6" w:anchor="_Toc461543719" w:history="1">
        <w:r w:rsidR="005924B0" w:rsidRPr="005924B0">
          <w:rPr>
            <w:rFonts w:ascii="Times New Roman" w:eastAsia="Times New Roman" w:hAnsi="Times New Roman" w:cs="Times New Roman"/>
            <w:b/>
            <w:bCs/>
            <w:caps/>
            <w:noProof/>
            <w:color w:val="0000FF"/>
            <w:sz w:val="24"/>
            <w:szCs w:val="24"/>
            <w:u w:val="single"/>
            <w:lang w:eastAsia="pl-PL"/>
          </w:rPr>
          <w:t>2. Materiały</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_Toc461543719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5</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ind w:left="113"/>
        <w:jc w:val="both"/>
        <w:rPr>
          <w:rFonts w:eastAsiaTheme="minorEastAsia"/>
          <w:noProof/>
          <w:lang w:eastAsia="pl-PL"/>
        </w:rPr>
      </w:pPr>
      <w:hyperlink r:id="rId7" w:anchor="_Toc461543720" w:history="1">
        <w:r w:rsidR="005924B0" w:rsidRPr="005924B0">
          <w:rPr>
            <w:rFonts w:ascii="Times New Roman" w:eastAsia="Times New Roman" w:hAnsi="Times New Roman" w:cs="Times New Roman"/>
            <w:b/>
            <w:bCs/>
            <w:caps/>
            <w:noProof/>
            <w:color w:val="0000FF"/>
            <w:sz w:val="24"/>
            <w:szCs w:val="24"/>
            <w:u w:val="single"/>
            <w:lang w:eastAsia="pl-PL"/>
          </w:rPr>
          <w:t>3. Sprzęt</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_Toc461543720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22</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ind w:left="113"/>
        <w:jc w:val="both"/>
        <w:rPr>
          <w:rFonts w:eastAsiaTheme="minorEastAsia"/>
          <w:noProof/>
          <w:lang w:eastAsia="pl-PL"/>
        </w:rPr>
      </w:pPr>
      <w:hyperlink r:id="rId8" w:anchor="_Toc461543721" w:history="1">
        <w:r w:rsidR="005924B0" w:rsidRPr="005924B0">
          <w:rPr>
            <w:rFonts w:ascii="Times New Roman" w:eastAsia="Times New Roman" w:hAnsi="Times New Roman" w:cs="Times New Roman"/>
            <w:b/>
            <w:bCs/>
            <w:caps/>
            <w:noProof/>
            <w:color w:val="0000FF"/>
            <w:sz w:val="24"/>
            <w:szCs w:val="24"/>
            <w:u w:val="single"/>
            <w:lang w:eastAsia="pl-PL"/>
          </w:rPr>
          <w:t>4. Transport</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_Toc461543721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22</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ind w:left="113"/>
        <w:jc w:val="both"/>
        <w:rPr>
          <w:rFonts w:eastAsiaTheme="minorEastAsia"/>
          <w:noProof/>
          <w:lang w:eastAsia="pl-PL"/>
        </w:rPr>
      </w:pPr>
      <w:hyperlink r:id="rId9" w:anchor="_Toc461543722" w:history="1">
        <w:r w:rsidR="005924B0" w:rsidRPr="005924B0">
          <w:rPr>
            <w:rFonts w:ascii="Times New Roman" w:eastAsia="Times New Roman" w:hAnsi="Times New Roman" w:cs="Times New Roman"/>
            <w:b/>
            <w:bCs/>
            <w:caps/>
            <w:noProof/>
            <w:color w:val="0000FF"/>
            <w:sz w:val="24"/>
            <w:szCs w:val="24"/>
            <w:u w:val="single"/>
            <w:lang w:eastAsia="pl-PL"/>
          </w:rPr>
          <w:t>5. Wykonanie robót</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_Toc461543722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23</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ind w:left="113"/>
        <w:jc w:val="both"/>
        <w:rPr>
          <w:rFonts w:eastAsiaTheme="minorEastAsia"/>
          <w:noProof/>
          <w:lang w:eastAsia="pl-PL"/>
        </w:rPr>
      </w:pPr>
      <w:hyperlink r:id="rId10" w:anchor="_Toc461543723" w:history="1">
        <w:r w:rsidR="005924B0" w:rsidRPr="005924B0">
          <w:rPr>
            <w:rFonts w:ascii="Times New Roman" w:eastAsia="Times New Roman" w:hAnsi="Times New Roman" w:cs="Times New Roman"/>
            <w:b/>
            <w:bCs/>
            <w:caps/>
            <w:noProof/>
            <w:color w:val="0000FF"/>
            <w:sz w:val="24"/>
            <w:szCs w:val="24"/>
            <w:u w:val="single"/>
            <w:lang w:eastAsia="pl-PL"/>
          </w:rPr>
          <w:t>6. Kontrola jakości robót</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_Toc461543723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31</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ind w:left="113"/>
        <w:jc w:val="both"/>
        <w:rPr>
          <w:rFonts w:eastAsiaTheme="minorEastAsia"/>
          <w:noProof/>
          <w:lang w:eastAsia="pl-PL"/>
        </w:rPr>
      </w:pPr>
      <w:hyperlink r:id="rId11" w:anchor="_Toc461543724" w:history="1">
        <w:r w:rsidR="005924B0" w:rsidRPr="005924B0">
          <w:rPr>
            <w:rFonts w:ascii="Times New Roman" w:eastAsia="Times New Roman" w:hAnsi="Times New Roman" w:cs="Times New Roman"/>
            <w:b/>
            <w:bCs/>
            <w:caps/>
            <w:noProof/>
            <w:color w:val="0000FF"/>
            <w:sz w:val="24"/>
            <w:szCs w:val="24"/>
            <w:u w:val="single"/>
            <w:lang w:eastAsia="pl-PL"/>
          </w:rPr>
          <w:t>7. Obmiar robót</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_Toc461543724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42</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ind w:left="113"/>
        <w:jc w:val="both"/>
        <w:rPr>
          <w:rFonts w:eastAsiaTheme="minorEastAsia"/>
          <w:noProof/>
          <w:lang w:eastAsia="pl-PL"/>
        </w:rPr>
      </w:pPr>
      <w:hyperlink r:id="rId12" w:anchor="_Toc461543725" w:history="1">
        <w:r w:rsidR="005924B0" w:rsidRPr="005924B0">
          <w:rPr>
            <w:rFonts w:ascii="Times New Roman" w:eastAsia="Times New Roman" w:hAnsi="Times New Roman" w:cs="Times New Roman"/>
            <w:b/>
            <w:bCs/>
            <w:caps/>
            <w:noProof/>
            <w:color w:val="0000FF"/>
            <w:sz w:val="24"/>
            <w:szCs w:val="24"/>
            <w:u w:val="single"/>
            <w:lang w:eastAsia="pl-PL"/>
          </w:rPr>
          <w:t>8. Odbiór robót</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_Toc461543725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42</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ind w:left="113"/>
        <w:jc w:val="both"/>
        <w:rPr>
          <w:rFonts w:eastAsiaTheme="minorEastAsia"/>
          <w:noProof/>
          <w:lang w:eastAsia="pl-PL"/>
        </w:rPr>
      </w:pPr>
      <w:hyperlink r:id="rId13" w:anchor="_Toc461543726" w:history="1">
        <w:r w:rsidR="005924B0" w:rsidRPr="005924B0">
          <w:rPr>
            <w:rFonts w:ascii="Times New Roman" w:eastAsia="Times New Roman" w:hAnsi="Times New Roman" w:cs="Times New Roman"/>
            <w:b/>
            <w:bCs/>
            <w:caps/>
            <w:noProof/>
            <w:color w:val="0000FF"/>
            <w:sz w:val="24"/>
            <w:szCs w:val="24"/>
            <w:u w:val="single"/>
            <w:lang w:eastAsia="pl-PL"/>
          </w:rPr>
          <w:t>9. Podstawa płatności</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_Toc461543726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42</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E13FFC" w:rsidP="005924B0">
      <w:pPr>
        <w:tabs>
          <w:tab w:val="right" w:leader="dot" w:pos="9061"/>
        </w:tabs>
        <w:overflowPunct w:val="0"/>
        <w:autoSpaceDE w:val="0"/>
        <w:autoSpaceDN w:val="0"/>
        <w:spacing w:after="0" w:line="240" w:lineRule="auto"/>
        <w:jc w:val="both"/>
        <w:rPr>
          <w:rFonts w:eastAsiaTheme="minorEastAsia"/>
          <w:noProof/>
          <w:lang w:eastAsia="pl-PL"/>
        </w:rPr>
      </w:pPr>
      <w:hyperlink r:id="rId14" w:anchor="_Toc461543727" w:history="1">
        <w:r w:rsidR="005924B0" w:rsidRPr="005924B0">
          <w:rPr>
            <w:rFonts w:ascii="Times New Roman" w:eastAsia="Times New Roman" w:hAnsi="Times New Roman" w:cs="Times New Roman"/>
            <w:b/>
            <w:bCs/>
            <w:caps/>
            <w:noProof/>
            <w:color w:val="0000FF"/>
            <w:sz w:val="24"/>
            <w:szCs w:val="24"/>
            <w:u w:val="single"/>
            <w:lang w:eastAsia="pl-PL"/>
          </w:rPr>
          <w:t>10. Przepisy związane</w:t>
        </w:r>
        <w:r w:rsidR="005924B0" w:rsidRPr="005924B0">
          <w:rPr>
            <w:rFonts w:ascii="Times New Roman" w:eastAsiaTheme="minorEastAsia" w:hAnsi="Times New Roman" w:cs="Times New Roman"/>
            <w:b/>
            <w:bCs/>
            <w:caps/>
            <w:noProof/>
            <w:webHidden/>
            <w:color w:val="0000FF"/>
            <w:sz w:val="24"/>
            <w:szCs w:val="24"/>
            <w:u w:val="single"/>
            <w:lang w:eastAsia="pl-PL"/>
          </w:rPr>
          <w:tab/>
        </w:r>
        <w:r w:rsidR="005924B0" w:rsidRPr="005924B0">
          <w:rPr>
            <w:rFonts w:ascii="Times New Roman" w:eastAsiaTheme="minorEastAsia" w:hAnsi="Times New Roman" w:cs="Times New Roman"/>
            <w:b/>
            <w:bCs/>
            <w:caps/>
            <w:noProof/>
            <w:webHidden/>
            <w:color w:val="0000FF"/>
            <w:sz w:val="24"/>
            <w:szCs w:val="24"/>
            <w:u w:val="single"/>
            <w:lang w:eastAsia="pl-PL"/>
          </w:rPr>
          <w:fldChar w:fldCharType="begin"/>
        </w:r>
        <w:r w:rsidR="005924B0" w:rsidRPr="005924B0">
          <w:rPr>
            <w:rFonts w:ascii="Times New Roman" w:eastAsiaTheme="minorEastAsia" w:hAnsi="Times New Roman" w:cs="Times New Roman"/>
            <w:b/>
            <w:bCs/>
            <w:caps/>
            <w:noProof/>
            <w:webHidden/>
            <w:color w:val="0000FF"/>
            <w:sz w:val="24"/>
            <w:szCs w:val="24"/>
            <w:u w:val="single"/>
            <w:lang w:eastAsia="pl-PL"/>
          </w:rPr>
          <w:instrText xml:space="preserve"> PAGEREF _Toc461543727 \h </w:instrText>
        </w:r>
        <w:r w:rsidR="005924B0" w:rsidRPr="005924B0">
          <w:rPr>
            <w:rFonts w:ascii="Times New Roman" w:eastAsiaTheme="minorEastAsia" w:hAnsi="Times New Roman" w:cs="Times New Roman"/>
            <w:b/>
            <w:bCs/>
            <w:caps/>
            <w:noProof/>
            <w:webHidden/>
            <w:color w:val="0000FF"/>
            <w:sz w:val="24"/>
            <w:szCs w:val="24"/>
            <w:u w:val="single"/>
            <w:lang w:eastAsia="pl-PL"/>
          </w:rPr>
        </w:r>
        <w:r w:rsidR="005924B0" w:rsidRPr="005924B0">
          <w:rPr>
            <w:rFonts w:ascii="Times New Roman" w:eastAsiaTheme="minorEastAsia" w:hAnsi="Times New Roman" w:cs="Times New Roman"/>
            <w:b/>
            <w:bCs/>
            <w:caps/>
            <w:noProof/>
            <w:webHidden/>
            <w:color w:val="0000FF"/>
            <w:sz w:val="24"/>
            <w:szCs w:val="24"/>
            <w:u w:val="single"/>
            <w:lang w:eastAsia="pl-PL"/>
          </w:rPr>
          <w:fldChar w:fldCharType="separate"/>
        </w:r>
        <w:r w:rsidR="005924B0" w:rsidRPr="005924B0">
          <w:rPr>
            <w:rFonts w:ascii="Times New Roman" w:eastAsiaTheme="minorEastAsia" w:hAnsi="Times New Roman" w:cs="Times New Roman"/>
            <w:b/>
            <w:bCs/>
            <w:caps/>
            <w:noProof/>
            <w:webHidden/>
            <w:color w:val="0000FF"/>
            <w:sz w:val="24"/>
            <w:szCs w:val="24"/>
            <w:u w:val="single"/>
            <w:lang w:eastAsia="pl-PL"/>
          </w:rPr>
          <w:t>43</w:t>
        </w:r>
        <w:r w:rsidR="005924B0" w:rsidRPr="005924B0">
          <w:rPr>
            <w:rFonts w:ascii="Times New Roman" w:eastAsiaTheme="minorEastAsia" w:hAnsi="Times New Roman" w:cs="Times New Roman"/>
            <w:b/>
            <w:bCs/>
            <w:caps/>
            <w:noProof/>
            <w:webHidden/>
            <w:color w:val="0000FF"/>
            <w:sz w:val="24"/>
            <w:szCs w:val="24"/>
            <w:u w:val="single"/>
            <w:lang w:eastAsia="pl-PL"/>
          </w:rPr>
          <w:fldChar w:fldCharType="end"/>
        </w:r>
      </w:hyperlink>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caps/>
          <w:color w:val="0000FF"/>
          <w:sz w:val="24"/>
          <w:szCs w:val="24"/>
          <w:u w:val="single"/>
          <w:lang w:eastAsia="pl-PL"/>
        </w:rPr>
        <w:fldChar w:fldCharType="end"/>
      </w:r>
      <w:r w:rsidRPr="005924B0">
        <w:rPr>
          <w:rFonts w:ascii="Times New Roman" w:eastAsiaTheme="minorEastAsia" w:hAnsi="Times New Roman" w:cs="Times New Roman"/>
          <w:b/>
          <w:b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NAJWAŻNIEJSZE OZNACZENIA I SKRÓTY</w:t>
      </w:r>
    </w:p>
    <w:tbl>
      <w:tblPr>
        <w:tblW w:w="0" w:type="auto"/>
        <w:jc w:val="center"/>
        <w:tblCellMar>
          <w:left w:w="0" w:type="dxa"/>
          <w:right w:w="0" w:type="dxa"/>
        </w:tblCellMar>
        <w:tblLook w:val="04A0" w:firstRow="1" w:lastRow="0" w:firstColumn="1" w:lastColumn="0" w:noHBand="0" w:noVBand="1"/>
      </w:tblPr>
      <w:tblGrid>
        <w:gridCol w:w="714"/>
        <w:gridCol w:w="5239"/>
      </w:tblGrid>
      <w:tr w:rsidR="005924B0" w:rsidRPr="005924B0" w:rsidTr="00854F2C">
        <w:trPr>
          <w:jc w:val="center"/>
        </w:trPr>
        <w:tc>
          <w:tcPr>
            <w:tcW w:w="714" w:type="dxa"/>
            <w:tcMar>
              <w:top w:w="0" w:type="dxa"/>
              <w:left w:w="70" w:type="dxa"/>
              <w:bottom w:w="0" w:type="dxa"/>
              <w:right w:w="70" w:type="dxa"/>
            </w:tcMar>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
        </w:tc>
        <w:tc>
          <w:tcPr>
            <w:tcW w:w="5239" w:type="dxa"/>
            <w:tcMar>
              <w:top w:w="0" w:type="dxa"/>
              <w:left w:w="70" w:type="dxa"/>
              <w:bottom w:w="0" w:type="dxa"/>
              <w:right w:w="70" w:type="dxa"/>
            </w:tcMar>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p>
        </w:tc>
      </w:tr>
      <w:tr w:rsidR="005924B0" w:rsidRPr="005924B0" w:rsidTr="005924B0">
        <w:trPr>
          <w:jc w:val="center"/>
        </w:trPr>
        <w:tc>
          <w:tcPr>
            <w:tcW w:w="714" w:type="dxa"/>
            <w:tcMar>
              <w:top w:w="0" w:type="dxa"/>
              <w:left w:w="70" w:type="dxa"/>
              <w:bottom w:w="0" w:type="dxa"/>
              <w:right w:w="70"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ST</w:t>
            </w:r>
          </w:p>
        </w:tc>
        <w:tc>
          <w:tcPr>
            <w:tcW w:w="5239" w:type="dxa"/>
            <w:tcMar>
              <w:top w:w="0" w:type="dxa"/>
              <w:left w:w="70" w:type="dxa"/>
              <w:bottom w:w="0" w:type="dxa"/>
              <w:right w:w="70" w:type="dxa"/>
            </w:tcMar>
            <w:hideMark/>
          </w:tcPr>
          <w:p w:rsidR="005924B0" w:rsidRPr="005924B0" w:rsidRDefault="005924B0" w:rsidP="005924B0">
            <w:pPr>
              <w:overflowPunct w:val="0"/>
              <w:autoSpaceDE w:val="0"/>
              <w:autoSpaceDN w:val="0"/>
              <w:spacing w:after="0" w:line="240" w:lineRule="auto"/>
              <w:ind w:left="194" w:hanging="194"/>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specyfikacja techniczna wykonania </w:t>
            </w:r>
          </w:p>
          <w:p w:rsidR="005924B0" w:rsidRPr="005924B0" w:rsidRDefault="005924B0" w:rsidP="005924B0">
            <w:pPr>
              <w:overflowPunct w:val="0"/>
              <w:autoSpaceDE w:val="0"/>
              <w:autoSpaceDN w:val="0"/>
              <w:spacing w:after="0" w:line="240" w:lineRule="auto"/>
              <w:ind w:left="194" w:hanging="194"/>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i odbioru robót budowlanych</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0" w:name="_Toc413234103"/>
      <w:bookmarkStart w:id="1" w:name="_Toc236626155"/>
      <w:bookmarkStart w:id="2" w:name="_Toc416830698"/>
      <w:bookmarkStart w:id="3" w:name="_Toc404150096"/>
      <w:bookmarkStart w:id="4" w:name="_Toc461543718"/>
      <w:bookmarkEnd w:id="0"/>
      <w:bookmarkEnd w:id="1"/>
      <w:bookmarkEnd w:id="2"/>
      <w:r w:rsidRPr="005924B0">
        <w:rPr>
          <w:rFonts w:ascii="Times New Roman" w:eastAsia="Times New Roman" w:hAnsi="Times New Roman" w:cs="Times New Roman"/>
          <w:b/>
          <w:bCs/>
          <w:caps/>
          <w:kern w:val="36"/>
          <w:sz w:val="24"/>
          <w:szCs w:val="24"/>
          <w:lang w:eastAsia="pl-PL"/>
        </w:rPr>
        <w:t xml:space="preserve">1. </w:t>
      </w:r>
      <w:bookmarkEnd w:id="3"/>
      <w:r w:rsidRPr="005924B0">
        <w:rPr>
          <w:rFonts w:ascii="Times New Roman" w:eastAsia="Times New Roman" w:hAnsi="Times New Roman" w:cs="Times New Roman"/>
          <w:b/>
          <w:bCs/>
          <w:caps/>
          <w:kern w:val="36"/>
          <w:sz w:val="24"/>
          <w:szCs w:val="24"/>
          <w:lang w:eastAsia="pl-PL"/>
        </w:rPr>
        <w:t>Wstęp</w:t>
      </w:r>
      <w:bookmarkEnd w:id="4"/>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bookmarkStart w:id="5" w:name="_Toc407161179"/>
      <w:bookmarkStart w:id="6" w:name="_Toc405615031"/>
      <w:bookmarkEnd w:id="5"/>
      <w:r w:rsidRPr="005924B0">
        <w:rPr>
          <w:rFonts w:ascii="Times New Roman" w:eastAsia="Times New Roman" w:hAnsi="Times New Roman" w:cs="Times New Roman"/>
          <w:b/>
          <w:bCs/>
          <w:sz w:val="24"/>
          <w:szCs w:val="24"/>
          <w:lang w:eastAsia="pl-PL"/>
        </w:rPr>
        <w:t>1.1. Przedmiot ST</w:t>
      </w:r>
      <w:bookmarkEnd w:id="6"/>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0"/>
          <w:szCs w:val="20"/>
          <w:lang w:eastAsia="pl-PL"/>
        </w:rPr>
      </w:pPr>
      <w:r w:rsidRPr="005924B0">
        <w:rPr>
          <w:rFonts w:ascii="Times New Roman" w:eastAsiaTheme="minorEastAsia" w:hAnsi="Times New Roman" w:cs="Times New Roman"/>
          <w:sz w:val="24"/>
          <w:szCs w:val="24"/>
          <w:lang w:eastAsia="pl-PL"/>
        </w:rPr>
        <w:t>            Przedmiotem niniejszej ogólnej specyfikacji technicznej (ST) są wymagania dotyczące wykonania i odbioru robót związanych z wykonaniem podbudowy z betonu asfaltowego.</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bookmarkStart w:id="7" w:name="_Toc407161180"/>
      <w:bookmarkStart w:id="8" w:name="_Toc405615032"/>
      <w:bookmarkEnd w:id="7"/>
      <w:r w:rsidRPr="005924B0">
        <w:rPr>
          <w:rFonts w:ascii="Times New Roman" w:eastAsia="Times New Roman" w:hAnsi="Times New Roman" w:cs="Times New Roman"/>
          <w:b/>
          <w:bCs/>
          <w:sz w:val="24"/>
          <w:szCs w:val="24"/>
          <w:lang w:eastAsia="pl-PL"/>
        </w:rPr>
        <w:t>1.2. Zakres stosowania ST</w:t>
      </w:r>
      <w:bookmarkEnd w:id="8"/>
    </w:p>
    <w:p w:rsidR="00854F2C" w:rsidRDefault="00854F2C" w:rsidP="00854F2C">
      <w:pPr>
        <w:overflowPunct w:val="0"/>
        <w:autoSpaceDE w:val="0"/>
        <w:autoSpaceDN w:val="0"/>
        <w:spacing w:after="0" w:line="240" w:lineRule="auto"/>
        <w:jc w:val="both"/>
        <w:rPr>
          <w:rFonts w:ascii="Times New Roman" w:eastAsiaTheme="minorEastAsia" w:hAnsi="Times New Roman" w:cs="Times New Roman"/>
          <w:sz w:val="24"/>
          <w:szCs w:val="24"/>
          <w:lang w:eastAsia="pl-PL"/>
        </w:rPr>
      </w:pPr>
      <w:bookmarkStart w:id="9" w:name="_Toc407161181"/>
      <w:bookmarkStart w:id="10" w:name="_Toc405615033"/>
      <w:bookmarkEnd w:id="9"/>
      <w:r w:rsidRPr="009624D7">
        <w:rPr>
          <w:rFonts w:ascii="Times New Roman" w:eastAsiaTheme="minorEastAsia" w:hAnsi="Times New Roman" w:cs="Times New Roman"/>
          <w:sz w:val="24"/>
          <w:szCs w:val="24"/>
          <w:lang w:eastAsia="pl-PL"/>
        </w:rPr>
        <w:t>           </w:t>
      </w:r>
      <w:r w:rsidRPr="001B48B5">
        <w:rPr>
          <w:rFonts w:ascii="Times New Roman" w:eastAsiaTheme="minorEastAsia" w:hAnsi="Times New Roman" w:cs="Times New Roman"/>
          <w:sz w:val="24"/>
          <w:szCs w:val="24"/>
          <w:lang w:eastAsia="pl-PL"/>
        </w:rPr>
        <w:t>           </w:t>
      </w:r>
      <w:r>
        <w:rPr>
          <w:rFonts w:ascii="Times New Roman" w:eastAsiaTheme="minorEastAsia" w:hAnsi="Times New Roman" w:cs="Times New Roman"/>
          <w:sz w:val="24"/>
          <w:szCs w:val="24"/>
          <w:lang w:eastAsia="pl-PL"/>
        </w:rPr>
        <w:t>S</w:t>
      </w:r>
      <w:r w:rsidRPr="001B48B5">
        <w:rPr>
          <w:rFonts w:ascii="Times New Roman" w:eastAsiaTheme="minorEastAsia" w:hAnsi="Times New Roman" w:cs="Times New Roman"/>
          <w:sz w:val="24"/>
          <w:szCs w:val="24"/>
          <w:lang w:eastAsia="pl-PL"/>
        </w:rPr>
        <w:t>pecyfikacj</w:t>
      </w:r>
      <w:r>
        <w:rPr>
          <w:rFonts w:ascii="Times New Roman" w:eastAsiaTheme="minorEastAsia" w:hAnsi="Times New Roman" w:cs="Times New Roman"/>
          <w:sz w:val="24"/>
          <w:szCs w:val="24"/>
          <w:lang w:eastAsia="pl-PL"/>
        </w:rPr>
        <w:t>a</w:t>
      </w:r>
      <w:r w:rsidRPr="001B48B5">
        <w:rPr>
          <w:rFonts w:ascii="Times New Roman" w:eastAsiaTheme="minorEastAsia" w:hAnsi="Times New Roman" w:cs="Times New Roman"/>
          <w:sz w:val="24"/>
          <w:szCs w:val="24"/>
          <w:lang w:eastAsia="pl-PL"/>
        </w:rPr>
        <w:t xml:space="preserve"> techniczn</w:t>
      </w:r>
      <w:r>
        <w:rPr>
          <w:rFonts w:ascii="Times New Roman" w:eastAsiaTheme="minorEastAsia" w:hAnsi="Times New Roman" w:cs="Times New Roman"/>
          <w:sz w:val="24"/>
          <w:szCs w:val="24"/>
          <w:lang w:eastAsia="pl-PL"/>
        </w:rPr>
        <w:t>a</w:t>
      </w:r>
      <w:r w:rsidRPr="001B48B5">
        <w:rPr>
          <w:rFonts w:ascii="Times New Roman" w:eastAsiaTheme="minorEastAsia" w:hAnsi="Times New Roman" w:cs="Times New Roman"/>
          <w:sz w:val="24"/>
          <w:szCs w:val="24"/>
          <w:lang w:eastAsia="pl-PL"/>
        </w:rPr>
        <w:t xml:space="preserve"> wykonania i odbioru robót budowlanych (ST)</w:t>
      </w:r>
      <w:r>
        <w:rPr>
          <w:rFonts w:ascii="Times New Roman" w:eastAsiaTheme="minorEastAsia" w:hAnsi="Times New Roman" w:cs="Times New Roman"/>
          <w:sz w:val="24"/>
          <w:szCs w:val="24"/>
          <w:lang w:eastAsia="pl-PL"/>
        </w:rPr>
        <w:t xml:space="preserve"> jest</w:t>
      </w:r>
      <w:r w:rsidRPr="001B48B5">
        <w:rPr>
          <w:rFonts w:ascii="Times New Roman" w:eastAsiaTheme="minorEastAsia" w:hAnsi="Times New Roman" w:cs="Times New Roman"/>
          <w:sz w:val="24"/>
          <w:szCs w:val="24"/>
          <w:lang w:eastAsia="pl-PL"/>
        </w:rPr>
        <w:t xml:space="preserve"> stosowan</w:t>
      </w:r>
      <w:r>
        <w:rPr>
          <w:rFonts w:ascii="Times New Roman" w:eastAsiaTheme="minorEastAsia" w:hAnsi="Times New Roman" w:cs="Times New Roman"/>
          <w:sz w:val="24"/>
          <w:szCs w:val="24"/>
          <w:lang w:eastAsia="pl-PL"/>
        </w:rPr>
        <w:t>a</w:t>
      </w:r>
      <w:r w:rsidRPr="001B48B5">
        <w:rPr>
          <w:rFonts w:ascii="Times New Roman" w:eastAsiaTheme="minorEastAsia" w:hAnsi="Times New Roman" w:cs="Times New Roman"/>
          <w:sz w:val="24"/>
          <w:szCs w:val="24"/>
          <w:lang w:eastAsia="pl-PL"/>
        </w:rPr>
        <w:t xml:space="preserve"> jako dokument przetargowy i kontraktowy przy zlecaniu i realizacji robót na drogach i ulicach.</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1.3. Zakres robót objętych ST</w:t>
      </w:r>
      <w:bookmarkEnd w:id="10"/>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Ustalenia zawarte w niniejszej specyfikacji dotyczą zasad prowadzenia robót związanych z wykonaniem i odbiorem warstwy podbudowy z betonu asfaltowego wg PN-EN 13108-1 [51] i WT-2 [82] [83] z mieszanki mineralno-asfaltowej dostarczonej od producenta. W przypadku produkcji mieszanki mineralno-asfaltowej przez Wykonawcę dla potrzeb budowy, Wykonawca zobowiązany jest prowadzić zakładową kontrolę produkcji (ZKP) zgodnie z WT-2 [82] [83] wg PN-EN 13108-21 [55].</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Podbudowę z betonu asfaltowego można wykonywać dla dróg kategorii ruchu od KR1 do KR7 (określenie kategorii ruchu podano w punkcie 1.4.7). Stosowane </w:t>
      </w:r>
      <w:proofErr w:type="gramStart"/>
      <w:r w:rsidRPr="005924B0">
        <w:rPr>
          <w:rFonts w:ascii="Times New Roman" w:eastAsiaTheme="minorEastAsia" w:hAnsi="Times New Roman" w:cs="Times New Roman"/>
          <w:sz w:val="24"/>
          <w:szCs w:val="24"/>
          <w:lang w:eastAsia="pl-PL"/>
        </w:rPr>
        <w:t>mieszanki  betonu</w:t>
      </w:r>
      <w:proofErr w:type="gramEnd"/>
      <w:r w:rsidRPr="005924B0">
        <w:rPr>
          <w:rFonts w:ascii="Times New Roman" w:eastAsiaTheme="minorEastAsia" w:hAnsi="Times New Roman" w:cs="Times New Roman"/>
          <w:sz w:val="24"/>
          <w:szCs w:val="24"/>
          <w:lang w:eastAsia="pl-PL"/>
        </w:rPr>
        <w:t xml:space="preserve"> asfaltowego o wymiarze D podano w tablicy 1.</w:t>
      </w:r>
    </w:p>
    <w:p w:rsidR="00854F2C" w:rsidRDefault="00854F2C"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p>
    <w:p w:rsidR="00854F2C" w:rsidRDefault="00854F2C"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p>
    <w:p w:rsidR="00854F2C" w:rsidRDefault="00854F2C"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p>
    <w:p w:rsidR="00854F2C" w:rsidRDefault="00854F2C"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p>
    <w:p w:rsidR="00854F2C" w:rsidRDefault="00854F2C"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p>
    <w:p w:rsidR="00854F2C" w:rsidRDefault="00854F2C"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p>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xml:space="preserve">Tablica 1. Stosowane mieszanki </w:t>
      </w:r>
    </w:p>
    <w:tbl>
      <w:tblPr>
        <w:tblW w:w="0" w:type="auto"/>
        <w:tblInd w:w="108" w:type="dxa"/>
        <w:tblCellMar>
          <w:left w:w="0" w:type="dxa"/>
          <w:right w:w="0" w:type="dxa"/>
        </w:tblCellMar>
        <w:tblLook w:val="04A0" w:firstRow="1" w:lastRow="0" w:firstColumn="1" w:lastColumn="0" w:noHBand="0" w:noVBand="1"/>
      </w:tblPr>
      <w:tblGrid>
        <w:gridCol w:w="1276"/>
        <w:gridCol w:w="6132"/>
      </w:tblGrid>
      <w:tr w:rsidR="005924B0" w:rsidRPr="005924B0" w:rsidTr="005924B0">
        <w:trPr>
          <w:trHeight w:val="590"/>
        </w:trPr>
        <w:tc>
          <w:tcPr>
            <w:tcW w:w="127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Kategoria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ruchu</w:t>
            </w:r>
          </w:p>
        </w:tc>
        <w:tc>
          <w:tcPr>
            <w:tcW w:w="613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Mieszanki  o</w:t>
            </w:r>
            <w:proofErr w:type="gramEnd"/>
            <w:r w:rsidRPr="005924B0">
              <w:rPr>
                <w:rFonts w:ascii="Times New Roman" w:eastAsiaTheme="minorEastAsia" w:hAnsi="Times New Roman" w:cs="Times New Roman"/>
                <w:sz w:val="24"/>
                <w:szCs w:val="24"/>
                <w:lang w:eastAsia="pl-PL"/>
              </w:rPr>
              <w:t xml:space="preserve"> wymiarze D</w:t>
            </w:r>
            <w:r w:rsidRPr="005924B0">
              <w:rPr>
                <w:rFonts w:ascii="Times New Roman" w:eastAsiaTheme="minorEastAsia" w:hAnsi="Times New Roman" w:cs="Times New Roman"/>
                <w:sz w:val="24"/>
                <w:szCs w:val="24"/>
                <w:vertAlign w:val="superscript"/>
                <w:lang w:eastAsia="pl-PL"/>
              </w:rPr>
              <w:t>1)</w:t>
            </w:r>
            <w:r w:rsidRPr="005924B0">
              <w:rPr>
                <w:rFonts w:ascii="Times New Roman" w:eastAsiaTheme="minorEastAsia" w:hAnsi="Times New Roman" w:cs="Times New Roman"/>
                <w:sz w:val="24"/>
                <w:szCs w:val="24"/>
                <w:lang w:eastAsia="pl-PL"/>
              </w:rPr>
              <w:t>,  mm</w:t>
            </w:r>
          </w:p>
        </w:tc>
      </w:tr>
      <w:tr w:rsidR="005924B0" w:rsidRPr="005924B0" w:rsidTr="005924B0">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 1-2</w:t>
            </w:r>
          </w:p>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 3-4</w:t>
            </w:r>
          </w:p>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 5-7</w:t>
            </w:r>
          </w:p>
        </w:tc>
        <w:tc>
          <w:tcPr>
            <w:tcW w:w="61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AC16P, AC22P</w:t>
            </w:r>
          </w:p>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AC16P, AC22P, AC32P</w:t>
            </w:r>
          </w:p>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AC16P, AC22P, AC32P</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1)</w:t>
      </w:r>
      <w:r w:rsidRPr="005924B0">
        <w:rPr>
          <w:rFonts w:ascii="Times New Roman" w:eastAsiaTheme="minorEastAsia" w:hAnsi="Times New Roman" w:cs="Times New Roman"/>
          <w:sz w:val="24"/>
          <w:szCs w:val="24"/>
          <w:lang w:eastAsia="pl-PL"/>
        </w:rPr>
        <w:t xml:space="preserve"> Podział ze względu na wymiar największego kruszywa w mieszance - patrz punkt 1.4.4.</w:t>
      </w:r>
    </w:p>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Uwaga: niniejsza ST nie obejmuje wykonania podbudowy z betonu asfaltowego o wysokim module sztywności.  </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1.4. Określenia podstawowe</w:t>
      </w:r>
    </w:p>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1.4.1. </w:t>
      </w:r>
      <w:r w:rsidRPr="005924B0">
        <w:rPr>
          <w:rFonts w:ascii="Times New Roman" w:eastAsiaTheme="minorEastAsia" w:hAnsi="Times New Roman" w:cs="Times New Roman"/>
          <w:sz w:val="24"/>
          <w:szCs w:val="24"/>
          <w:lang w:eastAsia="pl-PL"/>
        </w:rPr>
        <w:t>Nawierzchnia – konstrukcja składająca się z jednej lub kilku warstw służących do przejmowania i rozkładania obciążeń od ruchu pojazdów na podłoże.</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1.4.2. </w:t>
      </w:r>
      <w:r w:rsidRPr="005924B0">
        <w:rPr>
          <w:rFonts w:ascii="Times New Roman" w:eastAsiaTheme="minorEastAsia" w:hAnsi="Times New Roman" w:cs="Times New Roman"/>
          <w:sz w:val="24"/>
          <w:szCs w:val="24"/>
          <w:lang w:eastAsia="pl-PL"/>
        </w:rPr>
        <w:t>Podbudowa – główny element konstrukcyjny nawierzchni, który może być ułożony w jednej lub kilku warstwach.</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1.4.3. </w:t>
      </w:r>
      <w:r w:rsidRPr="005924B0">
        <w:rPr>
          <w:rFonts w:ascii="Times New Roman" w:eastAsiaTheme="minorEastAsia" w:hAnsi="Times New Roman" w:cs="Times New Roman"/>
          <w:sz w:val="24"/>
          <w:szCs w:val="24"/>
          <w:lang w:eastAsia="pl-PL"/>
        </w:rPr>
        <w:t>Mieszanka mineralno-asfaltowa (MMA) – mieszanka kruszyw i lepiszcza asfaltowego.</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1.4.4. </w:t>
      </w:r>
      <w:r w:rsidRPr="005924B0">
        <w:rPr>
          <w:rFonts w:ascii="Times New Roman" w:eastAsiaTheme="minorEastAsia" w:hAnsi="Times New Roman" w:cs="Times New Roman"/>
          <w:sz w:val="24"/>
          <w:szCs w:val="24"/>
          <w:lang w:eastAsia="pl-PL"/>
        </w:rPr>
        <w:t>Wymiar mieszanki mineralno-asfaltowej – określenie mieszanki mineralno-asfaltowej ze względu na największy wymiar kruszywa D, np. wymiar 16, 22 lub 32.</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1.4.5. </w:t>
      </w:r>
      <w:r w:rsidRPr="005924B0">
        <w:rPr>
          <w:rFonts w:ascii="Times New Roman" w:eastAsiaTheme="minorEastAsia" w:hAnsi="Times New Roman" w:cs="Times New Roman"/>
          <w:sz w:val="24"/>
          <w:szCs w:val="24"/>
          <w:lang w:eastAsia="pl-PL"/>
        </w:rPr>
        <w:t>Beton asfaltowy – mieszanka mineralno-asfaltowa, w której kruszywo o uziarnieniu ciągłym lub nieciągłym tworzy strukturę wzajemnie klinującą się.</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1.4.6. </w:t>
      </w:r>
      <w:r w:rsidRPr="005924B0">
        <w:rPr>
          <w:rFonts w:ascii="Times New Roman" w:eastAsiaTheme="minorEastAsia" w:hAnsi="Times New Roman" w:cs="Times New Roman"/>
          <w:sz w:val="24"/>
          <w:szCs w:val="24"/>
          <w:lang w:eastAsia="pl-PL"/>
        </w:rPr>
        <w:t>Uziarnienie – skład ziarnowy kruszywa, wyrażony w procentach masy ziaren przechodzących przez określony zestaw sit.</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1.4.7. </w:t>
      </w:r>
      <w:r w:rsidRPr="005924B0">
        <w:rPr>
          <w:rFonts w:ascii="Times New Roman" w:eastAsiaTheme="minorEastAsia" w:hAnsi="Times New Roman" w:cs="Times New Roman"/>
          <w:sz w:val="24"/>
          <w:szCs w:val="24"/>
          <w:lang w:eastAsia="pl-PL"/>
        </w:rPr>
        <w:t>Kategoria ruchu – obciążenie drogi ruchem samochodowym, wyrażone w osiach obliczeniowych (100 kN) wg „Katalogu typowych konstrukcji nawierzchni podatnych i półsztywnych” GDDKiA [84].</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1.4.8. </w:t>
      </w:r>
      <w:r w:rsidRPr="005924B0">
        <w:rPr>
          <w:rFonts w:ascii="Times New Roman" w:eastAsiaTheme="minorEastAsia" w:hAnsi="Times New Roman" w:cs="Times New Roman"/>
          <w:sz w:val="24"/>
          <w:szCs w:val="24"/>
          <w:lang w:eastAsia="pl-PL"/>
        </w:rPr>
        <w:t>Wymiar kruszywa – wielkość ziaren kruszywa, określona przez dolny (d) i górny (D) wymiar sita.</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1.4.9. </w:t>
      </w:r>
      <w:r w:rsidRPr="005924B0">
        <w:rPr>
          <w:rFonts w:ascii="Times New Roman" w:eastAsiaTheme="minorEastAsia" w:hAnsi="Times New Roman" w:cs="Times New Roman"/>
          <w:sz w:val="24"/>
          <w:szCs w:val="24"/>
          <w:lang w:eastAsia="pl-PL"/>
        </w:rPr>
        <w:t>Kruszywo grube – kruszywo z ziaren o wymiarze: D ≤ 45 mm oraz d &gt; 2 mm.</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1.4.10. </w:t>
      </w:r>
      <w:r w:rsidRPr="005924B0">
        <w:rPr>
          <w:rFonts w:ascii="Times New Roman" w:eastAsiaTheme="minorEastAsia" w:hAnsi="Times New Roman" w:cs="Times New Roman"/>
          <w:sz w:val="24"/>
          <w:szCs w:val="24"/>
          <w:lang w:eastAsia="pl-PL"/>
        </w:rPr>
        <w:t>Kruszywo drobne – kruszywo z ziaren o wymiarze: D ≤ 2 mm, którego większa część pozostaje na sicie 0,063 mm.</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1.4.11. </w:t>
      </w:r>
      <w:r w:rsidRPr="005924B0">
        <w:rPr>
          <w:rFonts w:ascii="Times New Roman" w:eastAsiaTheme="minorEastAsia" w:hAnsi="Times New Roman" w:cs="Times New Roman"/>
          <w:sz w:val="24"/>
          <w:szCs w:val="24"/>
          <w:lang w:eastAsia="pl-PL"/>
        </w:rPr>
        <w:t>Pył – kruszywo z ziaren przechodzących przez sito 0,063 mm.</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1.4.12. </w:t>
      </w:r>
      <w:r w:rsidRPr="005924B0">
        <w:rPr>
          <w:rFonts w:ascii="Times New Roman" w:eastAsiaTheme="minorEastAsia" w:hAnsi="Times New Roman" w:cs="Times New Roman"/>
          <w:sz w:val="24"/>
          <w:szCs w:val="24"/>
          <w:lang w:eastAsia="pl-PL"/>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1.4.13.</w:t>
      </w:r>
      <w:r w:rsidRPr="005924B0">
        <w:rPr>
          <w:rFonts w:ascii="Times New Roman" w:eastAsiaTheme="minorEastAsia" w:hAnsi="Times New Roman" w:cs="Times New Roman"/>
          <w:sz w:val="24"/>
          <w:szCs w:val="24"/>
          <w:lang w:eastAsia="pl-PL"/>
        </w:rPr>
        <w:t xml:space="preserve"> Granulat asfaltowy – jest to przetworzony destrukt asfaltowy o udokumentowanej jakości jako materiał składowy w produkcji mieszanek mineralno-asfaltowych w technologii na gorąco.</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1.4.14. </w:t>
      </w:r>
      <w:r w:rsidRPr="005924B0">
        <w:rPr>
          <w:rFonts w:ascii="Times New Roman" w:eastAsiaTheme="minorEastAsia" w:hAnsi="Times New Roman" w:cs="Times New Roman"/>
          <w:sz w:val="24"/>
          <w:szCs w:val="24"/>
          <w:lang w:eastAsia="pl-PL"/>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lastRenderedPageBreak/>
        <w:t xml:space="preserve">1.4.15. </w:t>
      </w:r>
      <w:r w:rsidRPr="005924B0">
        <w:rPr>
          <w:rFonts w:ascii="Times New Roman" w:eastAsiaTheme="minorEastAsia" w:hAnsi="Times New Roman" w:cs="Times New Roman"/>
          <w:sz w:val="24"/>
          <w:szCs w:val="24"/>
          <w:lang w:eastAsia="pl-PL"/>
        </w:rPr>
        <w:t>Kationowa emulsja asfaltowa – emulsja, w której emulgator nadaje dodatnie ładunki cząstkom zdyspergowanego asfaltu.</w:t>
      </w:r>
    </w:p>
    <w:p w:rsidR="005924B0" w:rsidRPr="005924B0" w:rsidRDefault="005924B0" w:rsidP="005924B0">
      <w:pPr>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1.4.16. </w:t>
      </w:r>
      <w:r w:rsidRPr="005924B0">
        <w:rPr>
          <w:rFonts w:ascii="Times New Roman" w:eastAsiaTheme="minorEastAsia" w:hAnsi="Times New Roman" w:cs="Times New Roman"/>
          <w:sz w:val="24"/>
          <w:szCs w:val="24"/>
          <w:lang w:eastAsia="pl-PL"/>
        </w:rPr>
        <w:t xml:space="preserve">Połączenia technologiczne </w:t>
      </w:r>
      <w:r w:rsidRPr="005924B0">
        <w:rPr>
          <w:rFonts w:ascii="Times New Roman" w:eastAsiaTheme="minorEastAsia" w:hAnsi="Times New Roman" w:cs="Times New Roman"/>
          <w:b/>
          <w:bCs/>
          <w:sz w:val="24"/>
          <w:szCs w:val="24"/>
          <w:lang w:eastAsia="pl-PL"/>
        </w:rPr>
        <w:t xml:space="preserve">– </w:t>
      </w:r>
      <w:r w:rsidRPr="005924B0">
        <w:rPr>
          <w:rFonts w:ascii="Times New Roman" w:eastAsiaTheme="minorEastAsia" w:hAnsi="Times New Roman" w:cs="Times New Roman"/>
          <w:sz w:val="24"/>
          <w:szCs w:val="24"/>
          <w:lang w:eastAsia="pl-PL"/>
        </w:rPr>
        <w:t>połączenia rożnych warstw ze sobą lub tych samych warstw wykonywanych w rożnym czasie niebędących połączeniem międzywarstwowym.</w:t>
      </w:r>
    </w:p>
    <w:p w:rsidR="005924B0" w:rsidRPr="005924B0" w:rsidRDefault="005924B0" w:rsidP="005924B0">
      <w:pPr>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1.4.17. </w:t>
      </w:r>
      <w:r w:rsidRPr="005924B0">
        <w:rPr>
          <w:rFonts w:ascii="Times New Roman" w:eastAsiaTheme="minorEastAsia" w:hAnsi="Times New Roman" w:cs="Times New Roman"/>
          <w:sz w:val="24"/>
          <w:szCs w:val="24"/>
          <w:lang w:eastAsia="pl-PL"/>
        </w:rPr>
        <w:t>Złącza podłużne i poprzeczne</w:t>
      </w:r>
      <w:r w:rsidRPr="005924B0">
        <w:rPr>
          <w:rFonts w:ascii="Times New Roman" w:eastAsiaTheme="minorEastAsia" w:hAnsi="Times New Roman" w:cs="Times New Roman"/>
          <w:b/>
          <w:bCs/>
          <w:sz w:val="24"/>
          <w:szCs w:val="24"/>
          <w:lang w:eastAsia="pl-PL"/>
        </w:rPr>
        <w:t xml:space="preserve"> </w:t>
      </w:r>
      <w:r w:rsidRPr="005924B0">
        <w:rPr>
          <w:rFonts w:ascii="Times New Roman" w:eastAsiaTheme="minorEastAsia" w:hAnsi="Times New Roman" w:cs="Times New Roman"/>
          <w:sz w:val="24"/>
          <w:szCs w:val="24"/>
          <w:lang w:eastAsia="pl-PL"/>
        </w:rPr>
        <w:t>– połączenia tego samego materiału wbudowywanego w rożnym czasie.</w:t>
      </w:r>
    </w:p>
    <w:p w:rsidR="005924B0" w:rsidRPr="005924B0" w:rsidRDefault="005924B0" w:rsidP="005924B0">
      <w:pPr>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1.4.18. </w:t>
      </w:r>
      <w:r w:rsidRPr="005924B0">
        <w:rPr>
          <w:rFonts w:ascii="Times New Roman" w:eastAsiaTheme="minorEastAsia" w:hAnsi="Times New Roman" w:cs="Times New Roman"/>
          <w:sz w:val="24"/>
          <w:szCs w:val="24"/>
          <w:lang w:eastAsia="pl-PL"/>
        </w:rPr>
        <w:t>Spoiny – połączenia rożnych materiałów, np. asfaltu lanego i betonu asfaltowego oraz warstwy asfaltowej z urządzeniami obcymi w nawierzchni lub ją ograniczającymi.</w:t>
      </w:r>
    </w:p>
    <w:p w:rsidR="005924B0" w:rsidRPr="005924B0" w:rsidRDefault="005924B0" w:rsidP="005924B0">
      <w:pPr>
        <w:overflowPunct w:val="0"/>
        <w:autoSpaceDE w:val="0"/>
        <w:autoSpaceDN w:val="0"/>
        <w:spacing w:before="120"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1.4.19. </w:t>
      </w:r>
      <w:r w:rsidRPr="005924B0">
        <w:rPr>
          <w:rFonts w:ascii="Times New Roman" w:eastAsiaTheme="minorEastAsia" w:hAnsi="Times New Roman" w:cs="Times New Roman"/>
          <w:sz w:val="24"/>
          <w:szCs w:val="24"/>
          <w:lang w:eastAsia="pl-PL"/>
        </w:rPr>
        <w:t>Pozostałe określenia podstawowe są zgodne z obowiązującymi, odpowiednimi polskimi normami i z definicjami podanymi w ST D-M-00.00.00 „Wymagania ogólne” pkt 1.4.</w:t>
      </w:r>
    </w:p>
    <w:p w:rsidR="005924B0" w:rsidRPr="005924B0" w:rsidRDefault="005924B0" w:rsidP="005924B0">
      <w:pPr>
        <w:overflowPunct w:val="0"/>
        <w:autoSpaceDE w:val="0"/>
        <w:autoSpaceDN w:val="0"/>
        <w:spacing w:before="120" w:after="12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1.4.17. </w:t>
      </w:r>
      <w:r w:rsidRPr="005924B0">
        <w:rPr>
          <w:rFonts w:ascii="Times New Roman" w:eastAsiaTheme="minorEastAsia" w:hAnsi="Times New Roman" w:cs="Times New Roman"/>
          <w:sz w:val="24"/>
          <w:szCs w:val="24"/>
          <w:lang w:eastAsia="pl-PL"/>
        </w:rPr>
        <w:t>Symbole i skróty dodatkowe</w:t>
      </w:r>
    </w:p>
    <w:tbl>
      <w:tblPr>
        <w:tblW w:w="8868" w:type="dxa"/>
        <w:tblCellMar>
          <w:left w:w="0" w:type="dxa"/>
          <w:right w:w="0" w:type="dxa"/>
        </w:tblCellMar>
        <w:tblLook w:val="04A0" w:firstRow="1" w:lastRow="0" w:firstColumn="1" w:lastColumn="0" w:noHBand="0" w:noVBand="1"/>
      </w:tblPr>
      <w:tblGrid>
        <w:gridCol w:w="923"/>
        <w:gridCol w:w="7945"/>
      </w:tblGrid>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AC_P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beton asfaltowy do warstwy podbudowy,</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PMB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val="en-US" w:eastAsia="pl-PL"/>
              </w:rPr>
            </w:pPr>
            <w:r w:rsidRPr="005924B0">
              <w:rPr>
                <w:rFonts w:ascii="Times New Roman" w:eastAsiaTheme="minorEastAsia" w:hAnsi="Times New Roman" w:cs="Times New Roman"/>
                <w:sz w:val="16"/>
                <w:szCs w:val="16"/>
                <w:lang w:val="en-US" w:eastAsia="pl-PL"/>
              </w:rPr>
              <w:t>–</w:t>
            </w:r>
            <w:r w:rsidRPr="005924B0">
              <w:rPr>
                <w:rFonts w:ascii="Times New Roman" w:eastAsiaTheme="minorEastAsia" w:hAnsi="Times New Roman" w:cs="Times New Roman"/>
                <w:sz w:val="14"/>
                <w:szCs w:val="14"/>
                <w:lang w:val="en-US" w:eastAsia="pl-PL"/>
              </w:rPr>
              <w:t xml:space="preserve">         </w:t>
            </w:r>
            <w:r w:rsidRPr="005924B0">
              <w:rPr>
                <w:rFonts w:ascii="Times New Roman" w:eastAsiaTheme="minorEastAsia" w:hAnsi="Times New Roman" w:cs="Times New Roman"/>
                <w:sz w:val="24"/>
                <w:szCs w:val="24"/>
                <w:lang w:val="en-US" w:eastAsia="pl-PL"/>
              </w:rPr>
              <w:t>polimeroasfalt (ang. polymer modified bitumen),</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MG</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asfalt wielorodzajowy (ang. multigrade)</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D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górny wymiar sita (przy określaniu wielkości ziaren kruszywa),</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d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dolny wymiar sita (przy określaniu wielkości ziaren kruszywa),</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C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kationowa emulsja asfaltowa,</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NPD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właściwość użytkowa nie określana (ang. No Performance Determined; producent może jej nie określać),</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TBR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do zadeklarowania (ang. To Be Reported; producent może dostarczyć odpowiednie informacje, jednak nie jest do tego zobowiązany),</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IRI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międzynarodowy wskaźnik równości (ang. International Roughness Index),</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MOP  </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miejsce obsługi podróżnych,</w:t>
            </w:r>
          </w:p>
        </w:tc>
      </w:tr>
      <w:tr w:rsidR="005924B0" w:rsidRPr="005924B0" w:rsidTr="005924B0">
        <w:tc>
          <w:tcPr>
            <w:tcW w:w="817"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ZKP</w:t>
            </w:r>
          </w:p>
        </w:tc>
        <w:tc>
          <w:tcPr>
            <w:tcW w:w="8051"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59" w:hanging="360"/>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zakładowa kontrola produkcji</w:t>
            </w:r>
          </w:p>
        </w:tc>
      </w:tr>
    </w:tbl>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1.5. Ogólne wymagania dotyczące robót</w:t>
      </w:r>
    </w:p>
    <w:p w:rsidR="005924B0" w:rsidRPr="005924B0" w:rsidRDefault="005924B0" w:rsidP="005924B0">
      <w:pPr>
        <w:overflowPunct w:val="0"/>
        <w:autoSpaceDE w:val="0"/>
        <w:autoSpaceDN w:val="0"/>
        <w:spacing w:after="0" w:line="240" w:lineRule="auto"/>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b/>
          <w:bCs/>
          <w:sz w:val="24"/>
          <w:szCs w:val="24"/>
          <w:lang w:eastAsia="pl-PL"/>
        </w:rPr>
        <w:t xml:space="preserve">            </w:t>
      </w:r>
      <w:r w:rsidRPr="005924B0">
        <w:rPr>
          <w:rFonts w:ascii="Times New Roman" w:eastAsiaTheme="minorEastAsia" w:hAnsi="Times New Roman" w:cs="Times New Roman"/>
          <w:sz w:val="24"/>
          <w:szCs w:val="24"/>
          <w:lang w:eastAsia="pl-PL"/>
        </w:rPr>
        <w:t>Ogólne wymagania dotyczące robót podano w ST D-M-00.00.00 „Wymagania ogólne” [1] pkt 1.5.</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11" w:name="_Toc461543719"/>
      <w:bookmarkStart w:id="12" w:name="_Toc413234104"/>
      <w:r w:rsidRPr="005924B0">
        <w:rPr>
          <w:rFonts w:ascii="Times New Roman" w:eastAsia="Times New Roman" w:hAnsi="Times New Roman" w:cs="Times New Roman"/>
          <w:b/>
          <w:bCs/>
          <w:caps/>
          <w:kern w:val="36"/>
          <w:sz w:val="24"/>
          <w:szCs w:val="24"/>
          <w:lang w:eastAsia="pl-PL"/>
        </w:rPr>
        <w:t>2. Materiały</w:t>
      </w:r>
      <w:bookmarkEnd w:id="11"/>
      <w:bookmarkEnd w:id="12"/>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2.1. Ogólne wymagania dotyczące materiałów</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Ogólne wymagania dotyczące materiałów, ich pozyskiwania i składowania, podano </w:t>
      </w:r>
      <w:proofErr w:type="gramStart"/>
      <w:r w:rsidRPr="005924B0">
        <w:rPr>
          <w:rFonts w:ascii="Times New Roman" w:eastAsiaTheme="minorEastAsia" w:hAnsi="Times New Roman" w:cs="Times New Roman"/>
          <w:sz w:val="24"/>
          <w:szCs w:val="24"/>
          <w:lang w:eastAsia="pl-PL"/>
        </w:rPr>
        <w:t>w  ST</w:t>
      </w:r>
      <w:proofErr w:type="gramEnd"/>
      <w:r w:rsidRPr="005924B0">
        <w:rPr>
          <w:rFonts w:ascii="Times New Roman" w:eastAsiaTheme="minorEastAsia" w:hAnsi="Times New Roman" w:cs="Times New Roman"/>
          <w:sz w:val="24"/>
          <w:szCs w:val="24"/>
          <w:lang w:eastAsia="pl-PL"/>
        </w:rPr>
        <w:t xml:space="preserve"> D-M-00.00.00 „Wymagania ogólne” [1] pkt 2.</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Wykonawca powinien przedstawić </w:t>
      </w:r>
      <w:proofErr w:type="gramStart"/>
      <w:r w:rsidRPr="005924B0">
        <w:rPr>
          <w:rFonts w:ascii="Times New Roman" w:eastAsiaTheme="minorEastAsia" w:hAnsi="Times New Roman" w:cs="Times New Roman"/>
          <w:sz w:val="24"/>
          <w:szCs w:val="24"/>
          <w:lang w:eastAsia="pl-PL"/>
        </w:rPr>
        <w:t>Inżynierowi  dokumenty</w:t>
      </w:r>
      <w:proofErr w:type="gramEnd"/>
      <w:r w:rsidRPr="005924B0">
        <w:rPr>
          <w:rFonts w:ascii="Times New Roman" w:eastAsiaTheme="minorEastAsia" w:hAnsi="Times New Roman" w:cs="Times New Roman"/>
          <w:sz w:val="24"/>
          <w:szCs w:val="24"/>
          <w:lang w:eastAsia="pl-PL"/>
        </w:rPr>
        <w:t xml:space="preserve"> potwierdzające przydatność wszystkich materiałów stosowanych do wykonania warstw asfaltowych. W przypadku zmiany rodzaju i właściwości materiałów należy ponownie wykazać ich przydatność do przewidywanego celu.</w:t>
      </w:r>
    </w:p>
    <w:p w:rsidR="005924B0" w:rsidRPr="005924B0" w:rsidRDefault="005924B0" w:rsidP="005924B0">
      <w:pPr>
        <w:overflowPunct w:val="0"/>
        <w:autoSpaceDE w:val="0"/>
        <w:autoSpaceDN w:val="0"/>
        <w:spacing w:after="0" w:line="240" w:lineRule="auto"/>
        <w:ind w:firstLine="709"/>
        <w:jc w:val="both"/>
        <w:rPr>
          <w:rFonts w:ascii="Bookman Old Style" w:eastAsiaTheme="minorEastAsia" w:hAnsi="Bookman Old Style" w:cs="Times New Roman"/>
          <w:sz w:val="24"/>
          <w:szCs w:val="24"/>
          <w:lang w:eastAsia="pl-PL"/>
        </w:rPr>
      </w:pPr>
      <w:r w:rsidRPr="005924B0">
        <w:rPr>
          <w:rFonts w:ascii="Times New Roman" w:eastAsiaTheme="minorEastAsia" w:hAnsi="Times New Roman" w:cs="Times New Roman"/>
          <w:sz w:val="24"/>
          <w:szCs w:val="24"/>
          <w:lang w:eastAsia="pl-PL"/>
        </w:rPr>
        <w:t xml:space="preserve">Wbudowywana mieszanka mineralno-asfaltowa może pochodzić z kilku wytwórni pod warunkiem, że jest produkowana z tych samych materiałów (o ustalonej </w:t>
      </w:r>
      <w:proofErr w:type="gramStart"/>
      <w:r w:rsidRPr="005924B0">
        <w:rPr>
          <w:rFonts w:ascii="Times New Roman" w:eastAsiaTheme="minorEastAsia" w:hAnsi="Times New Roman" w:cs="Times New Roman"/>
          <w:sz w:val="24"/>
          <w:szCs w:val="24"/>
          <w:lang w:eastAsia="pl-PL"/>
        </w:rPr>
        <w:t>przydatności )</w:t>
      </w:r>
      <w:proofErr w:type="gramEnd"/>
      <w:r w:rsidRPr="005924B0">
        <w:rPr>
          <w:rFonts w:ascii="Times New Roman" w:eastAsiaTheme="minorEastAsia" w:hAnsi="Times New Roman" w:cs="Times New Roman"/>
          <w:sz w:val="24"/>
          <w:szCs w:val="24"/>
          <w:lang w:eastAsia="pl-PL"/>
        </w:rPr>
        <w:t xml:space="preserve"> </w:t>
      </w:r>
      <w:r w:rsidR="00854F2C">
        <w:rPr>
          <w:rFonts w:ascii="Times New Roman" w:eastAsiaTheme="minorEastAsia" w:hAnsi="Times New Roman" w:cs="Times New Roman"/>
          <w:sz w:val="24"/>
          <w:szCs w:val="24"/>
          <w:lang w:eastAsia="pl-PL"/>
        </w:rPr>
        <w:br/>
      </w:r>
      <w:r w:rsidRPr="005924B0">
        <w:rPr>
          <w:rFonts w:ascii="Times New Roman" w:eastAsiaTheme="minorEastAsia" w:hAnsi="Times New Roman" w:cs="Times New Roman"/>
          <w:sz w:val="24"/>
          <w:szCs w:val="24"/>
          <w:lang w:eastAsia="pl-PL"/>
        </w:rPr>
        <w:t>i w oparciu o takie samo badanie typu.</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2.2. Materiały stosowane do betonu asfaltowego do warstwy podbudowy</w:t>
      </w:r>
    </w:p>
    <w:p w:rsid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Rodzaje stosowanych materiałów do betonu asfaltowego do warstwy podbudowy </w:t>
      </w:r>
      <w:r w:rsidR="00854F2C">
        <w:rPr>
          <w:rFonts w:ascii="Times New Roman" w:eastAsiaTheme="minorEastAsia" w:hAnsi="Times New Roman" w:cs="Times New Roman"/>
          <w:sz w:val="24"/>
          <w:szCs w:val="24"/>
          <w:lang w:eastAsia="pl-PL"/>
        </w:rPr>
        <w:br/>
      </w:r>
      <w:r w:rsidRPr="005924B0">
        <w:rPr>
          <w:rFonts w:ascii="Times New Roman" w:eastAsiaTheme="minorEastAsia" w:hAnsi="Times New Roman" w:cs="Times New Roman"/>
          <w:sz w:val="24"/>
          <w:szCs w:val="24"/>
          <w:lang w:eastAsia="pl-PL"/>
        </w:rPr>
        <w:t>w zależności od kategorii ruchu podano w tablicy 2.</w:t>
      </w:r>
    </w:p>
    <w:p w:rsidR="00854F2C" w:rsidRDefault="00854F2C"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p>
    <w:p w:rsidR="00854F2C" w:rsidRDefault="00854F2C"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p>
    <w:p w:rsidR="00854F2C" w:rsidRPr="005924B0" w:rsidRDefault="00854F2C"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p>
    <w:p w:rsidR="005924B0" w:rsidRPr="005924B0" w:rsidRDefault="005924B0" w:rsidP="005924B0">
      <w:pPr>
        <w:overflowPunct w:val="0"/>
        <w:autoSpaceDE w:val="0"/>
        <w:autoSpaceDN w:val="0"/>
        <w:spacing w:before="60" w:after="60" w:line="240" w:lineRule="auto"/>
        <w:ind w:left="900" w:hanging="90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xml:space="preserve">Tablica 2. </w:t>
      </w:r>
      <w:proofErr w:type="gramStart"/>
      <w:r w:rsidRPr="005924B0">
        <w:rPr>
          <w:rFonts w:ascii="Times New Roman" w:eastAsiaTheme="minorEastAsia" w:hAnsi="Times New Roman" w:cs="Times New Roman"/>
          <w:sz w:val="24"/>
          <w:szCs w:val="24"/>
          <w:lang w:eastAsia="pl-PL"/>
        </w:rPr>
        <w:t>Materiały  do</w:t>
      </w:r>
      <w:proofErr w:type="gramEnd"/>
      <w:r w:rsidRPr="005924B0">
        <w:rPr>
          <w:rFonts w:ascii="Times New Roman" w:eastAsiaTheme="minorEastAsia" w:hAnsi="Times New Roman" w:cs="Times New Roman"/>
          <w:sz w:val="24"/>
          <w:szCs w:val="24"/>
          <w:lang w:eastAsia="pl-PL"/>
        </w:rPr>
        <w:t xml:space="preserve"> warstwy podbudowy  z betonu asfaltowego</w:t>
      </w:r>
    </w:p>
    <w:tbl>
      <w:tblPr>
        <w:tblW w:w="0" w:type="auto"/>
        <w:tblCellMar>
          <w:left w:w="0" w:type="dxa"/>
          <w:right w:w="0" w:type="dxa"/>
        </w:tblCellMar>
        <w:tblLook w:val="04A0" w:firstRow="1" w:lastRow="0" w:firstColumn="1" w:lastColumn="0" w:noHBand="0" w:noVBand="1"/>
      </w:tblPr>
      <w:tblGrid>
        <w:gridCol w:w="2748"/>
        <w:gridCol w:w="636"/>
        <w:gridCol w:w="851"/>
        <w:gridCol w:w="709"/>
        <w:gridCol w:w="708"/>
        <w:gridCol w:w="851"/>
        <w:gridCol w:w="709"/>
        <w:gridCol w:w="708"/>
        <w:gridCol w:w="599"/>
      </w:tblGrid>
      <w:tr w:rsidR="005924B0" w:rsidRPr="005924B0" w:rsidTr="005924B0">
        <w:tc>
          <w:tcPr>
            <w:tcW w:w="2748"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Materiał</w:t>
            </w:r>
          </w:p>
        </w:tc>
        <w:tc>
          <w:tcPr>
            <w:tcW w:w="5771" w:type="dxa"/>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Kategoria ruchu</w:t>
            </w:r>
          </w:p>
        </w:tc>
      </w:tr>
      <w:tr w:rsidR="005924B0" w:rsidRPr="005924B0" w:rsidTr="005924B0">
        <w:tc>
          <w:tcPr>
            <w:tcW w:w="0" w:type="auto"/>
            <w:vMerge/>
            <w:tcBorders>
              <w:top w:val="single" w:sz="8" w:space="0" w:color="auto"/>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487"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KR1÷2</w:t>
            </w:r>
          </w:p>
        </w:tc>
        <w:tc>
          <w:tcPr>
            <w:tcW w:w="2268"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KR3÷4</w:t>
            </w:r>
          </w:p>
        </w:tc>
        <w:tc>
          <w:tcPr>
            <w:tcW w:w="2016"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KR5÷7</w:t>
            </w:r>
          </w:p>
        </w:tc>
      </w:tr>
      <w:tr w:rsidR="005924B0" w:rsidRPr="005924B0" w:rsidTr="005924B0">
        <w:tc>
          <w:tcPr>
            <w:tcW w:w="27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Mieszanka mineralno-asfaltowa o wymiarze D, [mm]</w:t>
            </w:r>
          </w:p>
        </w:tc>
        <w:tc>
          <w:tcPr>
            <w:tcW w:w="6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22</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32</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22</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32</w:t>
            </w:r>
          </w:p>
        </w:tc>
      </w:tr>
      <w:tr w:rsidR="005924B0" w:rsidRPr="005924B0" w:rsidTr="005924B0">
        <w:tc>
          <w:tcPr>
            <w:tcW w:w="27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Granulat asfaltowy GRA o wymiarze U, [mm]</w:t>
            </w:r>
          </w:p>
        </w:tc>
        <w:tc>
          <w:tcPr>
            <w:tcW w:w="63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22,4</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31,5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22,4</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31,5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22,4</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31,5</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45</w:t>
            </w:r>
          </w:p>
        </w:tc>
      </w:tr>
      <w:tr w:rsidR="005924B0" w:rsidRPr="005924B0" w:rsidTr="005924B0">
        <w:tc>
          <w:tcPr>
            <w:tcW w:w="27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Lepiszcze asfaltowe</w:t>
            </w:r>
          </w:p>
        </w:tc>
        <w:tc>
          <w:tcPr>
            <w:tcW w:w="1487"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50/70</w:t>
            </w:r>
          </w:p>
        </w:tc>
        <w:tc>
          <w:tcPr>
            <w:tcW w:w="2268"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35/50, 50/70</w:t>
            </w:r>
          </w:p>
          <w:p w:rsid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PMB 25/55-60</w:t>
            </w:r>
          </w:p>
          <w:p w:rsidR="004976DE" w:rsidRPr="005924B0" w:rsidRDefault="004976DE" w:rsidP="004976DE">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MG 35/50-57/69</w:t>
            </w:r>
          </w:p>
          <w:p w:rsidR="004976DE" w:rsidRPr="005924B0" w:rsidRDefault="004976DE" w:rsidP="004976DE">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MG 50/70-54/64</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
        </w:tc>
        <w:tc>
          <w:tcPr>
            <w:tcW w:w="2016"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35/50, 50/70</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PMB 25/55-60</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PMB 25/55-80</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MG 35/50-57/69</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MG 50/70-54/64</w:t>
            </w:r>
          </w:p>
        </w:tc>
      </w:tr>
      <w:tr w:rsidR="005924B0" w:rsidRPr="005924B0" w:rsidTr="005924B0">
        <w:tc>
          <w:tcPr>
            <w:tcW w:w="27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Kruszywa mineralne</w:t>
            </w:r>
          </w:p>
        </w:tc>
        <w:tc>
          <w:tcPr>
            <w:tcW w:w="5771" w:type="dxa"/>
            <w:gridSpan w:val="8"/>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Tabele 4-7 wg W</w:t>
            </w:r>
            <w:r w:rsidR="00071AF0">
              <w:rPr>
                <w:rFonts w:ascii="Times New Roman" w:eastAsiaTheme="minorEastAsia" w:hAnsi="Times New Roman" w:cs="Times New Roman"/>
                <w:sz w:val="24"/>
                <w:szCs w:val="24"/>
                <w:lang w:eastAsia="pl-PL"/>
              </w:rPr>
              <w:t xml:space="preserve">T-1-2014 [81] (tablice 6-10 wg </w:t>
            </w:r>
            <w:r w:rsidRPr="005924B0">
              <w:rPr>
                <w:rFonts w:ascii="Times New Roman" w:eastAsiaTheme="minorEastAsia" w:hAnsi="Times New Roman" w:cs="Times New Roman"/>
                <w:sz w:val="24"/>
                <w:szCs w:val="24"/>
                <w:lang w:eastAsia="pl-PL"/>
              </w:rPr>
              <w:t>ST)</w:t>
            </w:r>
          </w:p>
        </w:tc>
      </w:tr>
    </w:tbl>
    <w:p w:rsidR="005924B0" w:rsidRPr="005924B0" w:rsidRDefault="005924B0" w:rsidP="005924B0">
      <w:pPr>
        <w:keepNext/>
        <w:overflowPunct w:val="0"/>
        <w:autoSpaceDE w:val="0"/>
        <w:autoSpaceDN w:val="0"/>
        <w:spacing w:before="24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2.3. Lepiszcza asfaltowe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Należy stosować asfalty drogowe wg PN-EN 12591 [24</w:t>
      </w:r>
      <w:proofErr w:type="gramStart"/>
      <w:r w:rsidRPr="005924B0">
        <w:rPr>
          <w:rFonts w:ascii="Times New Roman" w:eastAsiaTheme="minorEastAsia" w:hAnsi="Times New Roman" w:cs="Times New Roman"/>
          <w:sz w:val="24"/>
          <w:szCs w:val="24"/>
          <w:lang w:eastAsia="pl-PL"/>
        </w:rPr>
        <w:t>],  polimeroasfalty</w:t>
      </w:r>
      <w:proofErr w:type="gramEnd"/>
      <w:r w:rsidRPr="005924B0">
        <w:rPr>
          <w:rFonts w:ascii="Times New Roman" w:eastAsiaTheme="minorEastAsia" w:hAnsi="Times New Roman" w:cs="Times New Roman"/>
          <w:sz w:val="24"/>
          <w:szCs w:val="24"/>
          <w:lang w:eastAsia="pl-PL"/>
        </w:rPr>
        <w:t xml:space="preserve"> wg PN-EN 14023 [66] [66a] lub asfalty wielorodzajowe wg PN-EN 13924-2[65] [65a].</w:t>
      </w:r>
    </w:p>
    <w:p w:rsidR="005924B0" w:rsidRPr="005924B0" w:rsidRDefault="005924B0" w:rsidP="005924B0">
      <w:pPr>
        <w:overflowPunct w:val="0"/>
        <w:autoSpaceDE w:val="0"/>
        <w:autoSpaceDN w:val="0"/>
        <w:spacing w:after="0" w:line="240" w:lineRule="auto"/>
        <w:ind w:firstLine="70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Oprócz lepiszcz wymienionych w tablicy 2 można stosować inne lepiszcza nienormowe według aprobat technicznych. </w:t>
      </w:r>
    </w:p>
    <w:p w:rsidR="005924B0" w:rsidRPr="005924B0" w:rsidRDefault="005924B0" w:rsidP="005924B0">
      <w:pPr>
        <w:overflowPunct w:val="0"/>
        <w:autoSpaceDE w:val="0"/>
        <w:autoSpaceDN w:val="0"/>
        <w:spacing w:after="0" w:line="240" w:lineRule="auto"/>
        <w:ind w:firstLine="70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Asfalty drogowe powinny spełniać wymagania podane w tablicy 3. </w:t>
      </w:r>
    </w:p>
    <w:p w:rsidR="005924B0" w:rsidRPr="005924B0" w:rsidRDefault="005924B0" w:rsidP="005924B0">
      <w:pPr>
        <w:overflowPunct w:val="0"/>
        <w:autoSpaceDE w:val="0"/>
        <w:autoSpaceDN w:val="0"/>
        <w:spacing w:after="0" w:line="240" w:lineRule="auto"/>
        <w:ind w:firstLine="708"/>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Polimeroasfalty  powinny</w:t>
      </w:r>
      <w:proofErr w:type="gramEnd"/>
      <w:r w:rsidRPr="005924B0">
        <w:rPr>
          <w:rFonts w:ascii="Times New Roman" w:eastAsiaTheme="minorEastAsia" w:hAnsi="Times New Roman" w:cs="Times New Roman"/>
          <w:sz w:val="24"/>
          <w:szCs w:val="24"/>
          <w:lang w:eastAsia="pl-PL"/>
        </w:rPr>
        <w:t xml:space="preserve"> spełniać wymagania podane  w tablicy 4.</w:t>
      </w:r>
    </w:p>
    <w:p w:rsidR="005924B0" w:rsidRPr="005924B0" w:rsidRDefault="005924B0" w:rsidP="005924B0">
      <w:pPr>
        <w:overflowPunct w:val="0"/>
        <w:autoSpaceDE w:val="0"/>
        <w:autoSpaceDN w:val="0"/>
        <w:spacing w:after="0" w:line="240" w:lineRule="auto"/>
        <w:ind w:firstLine="70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wielorodzajowe powinny spełniać wymagania podane w tablicy 5.</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3. Wymagania wobec asfaltów drogowych wg PN-EN 12591 [24]</w:t>
      </w:r>
    </w:p>
    <w:tbl>
      <w:tblPr>
        <w:tblW w:w="0" w:type="auto"/>
        <w:tblCellMar>
          <w:left w:w="0" w:type="dxa"/>
          <w:right w:w="0" w:type="dxa"/>
        </w:tblCellMar>
        <w:tblLook w:val="04A0" w:firstRow="1" w:lastRow="0" w:firstColumn="1" w:lastColumn="0" w:noHBand="0" w:noVBand="1"/>
      </w:tblPr>
      <w:tblGrid>
        <w:gridCol w:w="546"/>
        <w:gridCol w:w="2790"/>
        <w:gridCol w:w="15"/>
        <w:gridCol w:w="960"/>
        <w:gridCol w:w="2160"/>
        <w:gridCol w:w="1150"/>
        <w:gridCol w:w="1150"/>
      </w:tblGrid>
      <w:tr w:rsidR="005924B0" w:rsidRPr="005924B0" w:rsidTr="005924B0">
        <w:tc>
          <w:tcPr>
            <w:tcW w:w="546"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Lp.</w:t>
            </w:r>
          </w:p>
        </w:tc>
        <w:tc>
          <w:tcPr>
            <w:tcW w:w="2790" w:type="dxa"/>
            <w:vMerge w:val="restart"/>
            <w:tcBorders>
              <w:top w:val="single" w:sz="8" w:space="0" w:color="auto"/>
              <w:left w:val="nil"/>
              <w:bottom w:val="single" w:sz="8" w:space="0" w:color="auto"/>
              <w:right w:val="single" w:sz="4"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w:t>
            </w:r>
          </w:p>
        </w:tc>
        <w:tc>
          <w:tcPr>
            <w:tcW w:w="975" w:type="dxa"/>
            <w:gridSpan w:val="2"/>
            <w:vMerge w:val="restart"/>
            <w:tcBorders>
              <w:top w:val="single" w:sz="8" w:space="0" w:color="auto"/>
              <w:left w:val="single" w:sz="4" w:space="0" w:color="auto"/>
              <w:bottom w:val="single" w:sz="8" w:space="0" w:color="auto"/>
              <w:right w:val="single" w:sz="8" w:space="0" w:color="auto"/>
            </w:tcBorders>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Jednostka</w:t>
            </w:r>
          </w:p>
        </w:tc>
        <w:tc>
          <w:tcPr>
            <w:tcW w:w="2160"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w:t>
            </w:r>
          </w:p>
        </w:tc>
        <w:tc>
          <w:tcPr>
            <w:tcW w:w="230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Rodzaj asfaltu</w:t>
            </w:r>
          </w:p>
        </w:tc>
      </w:tr>
      <w:tr w:rsidR="005924B0" w:rsidRPr="005924B0" w:rsidTr="005924B0">
        <w:tc>
          <w:tcPr>
            <w:tcW w:w="0" w:type="auto"/>
            <w:vMerge/>
            <w:tcBorders>
              <w:top w:val="single" w:sz="8" w:space="0" w:color="auto"/>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4"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gridSpan w:val="2"/>
            <w:vMerge/>
            <w:tcBorders>
              <w:top w:val="single" w:sz="8" w:space="0" w:color="auto"/>
              <w:left w:val="single" w:sz="4"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35/50</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50/70</w:t>
            </w:r>
          </w:p>
        </w:tc>
      </w:tr>
      <w:tr w:rsidR="005924B0" w:rsidRPr="005924B0" w:rsidTr="005924B0">
        <w:tc>
          <w:tcPr>
            <w:tcW w:w="8771" w:type="dxa"/>
            <w:gridSpan w:val="7"/>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OBLIGATORYJNE</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Penetracja w 25°C</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0,1 mm</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 [21]</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35÷50</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50÷70</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50÷58</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46÷54</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Temperatura zapłonu,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nie mniej niż</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22592 [69]</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240</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230</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Zawartość składników rozpuszczalnych, </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nie mniej niż</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m/m</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12592 [25]</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99</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99</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Zmiana masy po starzeniu (ubytek lub przyrost),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nie więcej niż</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m/m</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12607-1 [29]</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0,5</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0,5</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Pozostała penetracja po starzeniu, nie mniej niż</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 [21]</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53</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 po starzeniu, nie mniej niż</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52</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48</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Wzrost temp. mięknienia po starzeniu, nie więcej niż</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w:t>
            </w:r>
          </w:p>
        </w:tc>
      </w:tr>
      <w:tr w:rsidR="005924B0" w:rsidRPr="005924B0" w:rsidTr="005924B0">
        <w:tc>
          <w:tcPr>
            <w:tcW w:w="8771" w:type="dxa"/>
            <w:gridSpan w:val="7"/>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SPECJALNE   KRAJOWE</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9</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łamliwości Fraassa, nie więcej niż</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12593 [26]</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Indeks penetracji</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12591[24]</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Brak wymagań</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Brak wymagań</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11</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Lepkość dynamiczna w 60°C</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12596[28]</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Brak wymagań</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Brak wymagań</w:t>
            </w:r>
          </w:p>
        </w:tc>
      </w:tr>
      <w:tr w:rsidR="005924B0" w:rsidRPr="005924B0" w:rsidTr="005924B0">
        <w:tc>
          <w:tcPr>
            <w:tcW w:w="54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280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Lepkość kinematyczna w 135°C</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mm</w:t>
            </w:r>
            <w:r w:rsidRPr="005924B0">
              <w:rPr>
                <w:rFonts w:ascii="Times New Roman" w:eastAsiaTheme="minorEastAsia" w:hAnsi="Times New Roman" w:cs="Times New Roman"/>
                <w:sz w:val="24"/>
                <w:szCs w:val="24"/>
                <w:vertAlign w:val="superscript"/>
                <w:lang w:eastAsia="pl-PL"/>
              </w:rPr>
              <w:t>2</w:t>
            </w:r>
            <w:r w:rsidRPr="005924B0">
              <w:rPr>
                <w:rFonts w:ascii="Times New Roman" w:eastAsiaTheme="minorEastAsia" w:hAnsi="Times New Roman" w:cs="Times New Roman"/>
                <w:sz w:val="24"/>
                <w:szCs w:val="24"/>
                <w:lang w:eastAsia="pl-PL"/>
              </w:rPr>
              <w:t>/s</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12595[27]</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Brak wymagań</w:t>
            </w:r>
          </w:p>
        </w:tc>
        <w:tc>
          <w:tcPr>
            <w:tcW w:w="115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Brak wymagań</w:t>
            </w:r>
          </w:p>
        </w:tc>
      </w:tr>
    </w:tbl>
    <w:p w:rsidR="005924B0" w:rsidRPr="005924B0" w:rsidRDefault="005924B0" w:rsidP="005924B0">
      <w:pPr>
        <w:overflowPunct w:val="0"/>
        <w:autoSpaceDE w:val="0"/>
        <w:autoSpaceDN w:val="0"/>
        <w:spacing w:before="120" w:after="120" w:line="240" w:lineRule="auto"/>
        <w:ind w:left="851" w:hanging="851"/>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4. Wymagania wobec asfaltów modyfikowanych polimerami (polimeroasfaltów) wg PN-EN 14023 [66] [66a]</w:t>
      </w:r>
    </w:p>
    <w:tbl>
      <w:tblPr>
        <w:tblW w:w="0" w:type="auto"/>
        <w:tblCellMar>
          <w:left w:w="0" w:type="dxa"/>
          <w:right w:w="0" w:type="dxa"/>
        </w:tblCellMar>
        <w:tblLook w:val="04A0" w:firstRow="1" w:lastRow="0" w:firstColumn="1" w:lastColumn="0" w:noHBand="0" w:noVBand="1"/>
      </w:tblPr>
      <w:tblGrid>
        <w:gridCol w:w="1392"/>
        <w:gridCol w:w="1757"/>
        <w:gridCol w:w="1946"/>
        <w:gridCol w:w="682"/>
        <w:gridCol w:w="1036"/>
        <w:gridCol w:w="582"/>
        <w:gridCol w:w="1075"/>
        <w:gridCol w:w="582"/>
      </w:tblGrid>
      <w:tr w:rsidR="005924B0" w:rsidRPr="005924B0" w:rsidTr="00EB0210">
        <w:tc>
          <w:tcPr>
            <w:tcW w:w="1806"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Wymaganie</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podstawowe</w:t>
            </w:r>
          </w:p>
        </w:tc>
        <w:tc>
          <w:tcPr>
            <w:tcW w:w="2297"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2552"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w:t>
            </w:r>
          </w:p>
        </w:tc>
        <w:tc>
          <w:tcPr>
            <w:tcW w:w="846"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Jed-nostka</w:t>
            </w:r>
          </w:p>
        </w:tc>
        <w:tc>
          <w:tcPr>
            <w:tcW w:w="4094"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Gatunki asfaltów modyfikowanych</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polimerami (PMB)</w:t>
            </w:r>
          </w:p>
        </w:tc>
      </w:tr>
      <w:tr w:rsidR="005924B0" w:rsidRPr="005924B0" w:rsidTr="00EB0210">
        <w:tc>
          <w:tcPr>
            <w:tcW w:w="0" w:type="auto"/>
            <w:vMerge/>
            <w:tcBorders>
              <w:top w:val="single" w:sz="8" w:space="0" w:color="auto"/>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02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25/55 – 60</w:t>
            </w:r>
          </w:p>
        </w:tc>
        <w:tc>
          <w:tcPr>
            <w:tcW w:w="2074"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25/55 – 80</w:t>
            </w:r>
          </w:p>
        </w:tc>
      </w:tr>
      <w:tr w:rsidR="005924B0" w:rsidRPr="005924B0" w:rsidTr="00EB0210">
        <w:tc>
          <w:tcPr>
            <w:tcW w:w="0" w:type="auto"/>
            <w:vMerge/>
            <w:tcBorders>
              <w:top w:val="single" w:sz="8" w:space="0" w:color="auto"/>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31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wymaganie</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klasa</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Wymaganie</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klasa</w:t>
            </w:r>
          </w:p>
        </w:tc>
      </w:tr>
      <w:tr w:rsidR="005924B0" w:rsidRPr="005924B0" w:rsidTr="00EB0210">
        <w:tc>
          <w:tcPr>
            <w:tcW w:w="180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Konsystencja w pośrednich temperaturach eksploatacyj-nych</w:t>
            </w: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Penetracja w 25°C</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 [21]</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0,1 mm</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25-55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25-55</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r>
      <w:tr w:rsidR="005924B0" w:rsidRPr="005924B0" w:rsidTr="00EB0210">
        <w:tc>
          <w:tcPr>
            <w:tcW w:w="180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Konsystencja  w</w:t>
            </w:r>
            <w:proofErr w:type="gramEnd"/>
            <w:r w:rsidRPr="005924B0">
              <w:rPr>
                <w:rFonts w:ascii="Times New Roman" w:eastAsiaTheme="minorEastAsia" w:hAnsi="Times New Roman" w:cs="Times New Roman"/>
                <w:sz w:val="24"/>
                <w:szCs w:val="24"/>
                <w:lang w:eastAsia="pl-PL"/>
              </w:rPr>
              <w:t xml:space="preserve"> wysokich  temp. eksplo-atacyjnych</w:t>
            </w: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60</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80</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r>
      <w:tr w:rsidR="005924B0" w:rsidRPr="005924B0" w:rsidTr="00EB0210">
        <w:tc>
          <w:tcPr>
            <w:tcW w:w="1806"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Kohezja</w:t>
            </w: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Siła rozciągania (mała prędkość rozciągania)</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13589 [62]      PN-EN 13703 [63]</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J/cm</w:t>
            </w:r>
            <w:r w:rsidRPr="005924B0">
              <w:rPr>
                <w:rFonts w:ascii="Times New Roman" w:eastAsiaTheme="minorEastAsia" w:hAnsi="Times New Roman" w:cs="Times New Roman"/>
                <w:sz w:val="24"/>
                <w:szCs w:val="24"/>
                <w:vertAlign w:val="superscript"/>
                <w:lang w:eastAsia="pl-PL"/>
              </w:rPr>
              <w:t>2</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2 w 10°C</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TBR</w:t>
            </w:r>
            <w:r w:rsidRPr="005924B0">
              <w:rPr>
                <w:rFonts w:ascii="Times New Roman" w:eastAsiaTheme="minorEastAsia" w:hAnsi="Times New Roman" w:cs="Times New Roman"/>
                <w:sz w:val="24"/>
                <w:szCs w:val="24"/>
                <w:vertAlign w:val="superscript"/>
                <w:lang w:eastAsia="pl-PL"/>
              </w:rPr>
              <w:t>b</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15°C)</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Rozciąganie </w:t>
            </w:r>
            <w:proofErr w:type="gramStart"/>
            <w:r w:rsidRPr="005924B0">
              <w:rPr>
                <w:rFonts w:ascii="Times New Roman" w:eastAsiaTheme="minorEastAsia" w:hAnsi="Times New Roman" w:cs="Times New Roman"/>
                <w:sz w:val="24"/>
                <w:szCs w:val="24"/>
                <w:lang w:eastAsia="pl-PL"/>
              </w:rPr>
              <w:t>bezpośrednie  w</w:t>
            </w:r>
            <w:proofErr w:type="gramEnd"/>
            <w:r w:rsidRPr="005924B0">
              <w:rPr>
                <w:rFonts w:ascii="Times New Roman" w:eastAsiaTheme="minorEastAsia" w:hAnsi="Times New Roman" w:cs="Times New Roman"/>
                <w:sz w:val="24"/>
                <w:szCs w:val="24"/>
                <w:lang w:eastAsia="pl-PL"/>
              </w:rPr>
              <w:t xml:space="preserve"> 5°C (rozciąganie 100 mm/min)</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13587 [60]      PN-EN 13703 [63]</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J/cm</w:t>
            </w:r>
            <w:r w:rsidRPr="005924B0">
              <w:rPr>
                <w:rFonts w:ascii="Times New Roman" w:eastAsiaTheme="minorEastAsia" w:hAnsi="Times New Roman" w:cs="Times New Roman"/>
                <w:sz w:val="24"/>
                <w:szCs w:val="24"/>
                <w:vertAlign w:val="superscript"/>
                <w:lang w:eastAsia="pl-PL"/>
              </w:rPr>
              <w:t>2</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Wahadło Vialit (metoda uderzenia)</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13588 [61]</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J/cm</w:t>
            </w:r>
            <w:r w:rsidRPr="005924B0">
              <w:rPr>
                <w:rFonts w:ascii="Times New Roman" w:eastAsiaTheme="minorEastAsia" w:hAnsi="Times New Roman" w:cs="Times New Roman"/>
                <w:sz w:val="24"/>
                <w:szCs w:val="24"/>
                <w:vertAlign w:val="superscript"/>
                <w:lang w:eastAsia="pl-PL"/>
              </w:rPr>
              <w:t>2</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r>
      <w:tr w:rsidR="005924B0" w:rsidRPr="005924B0" w:rsidTr="00EB0210">
        <w:tc>
          <w:tcPr>
            <w:tcW w:w="1806"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Stałość konsystencji (odporność na starzenie wg PN-EN 12607-1 </w:t>
            </w:r>
            <w:proofErr w:type="gramStart"/>
            <w:r w:rsidRPr="005924B0">
              <w:rPr>
                <w:rFonts w:ascii="Times New Roman" w:eastAsiaTheme="minorEastAsia" w:hAnsi="Times New Roman" w:cs="Times New Roman"/>
                <w:sz w:val="24"/>
                <w:szCs w:val="24"/>
                <w:lang w:eastAsia="pl-PL"/>
              </w:rPr>
              <w:lastRenderedPageBreak/>
              <w:t>lub  -</w:t>
            </w:r>
            <w:proofErr w:type="gramEnd"/>
            <w:r w:rsidRPr="005924B0">
              <w:rPr>
                <w:rFonts w:ascii="Times New Roman" w:eastAsiaTheme="minorEastAsia" w:hAnsi="Times New Roman" w:cs="Times New Roman"/>
                <w:sz w:val="24"/>
                <w:szCs w:val="24"/>
                <w:lang w:eastAsia="pl-PL"/>
              </w:rPr>
              <w:t>3 [29][30]</w:t>
            </w: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Zmiana masy</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12607-1[29]</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0,5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0,5</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Pozostała penetracja</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 [21]</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60</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60</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Wzrost temperatury mięknienia</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8</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8</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r>
      <w:tr w:rsidR="005924B0" w:rsidRPr="005924B0" w:rsidTr="00EB0210">
        <w:trPr>
          <w:trHeight w:val="510"/>
        </w:trPr>
        <w:tc>
          <w:tcPr>
            <w:tcW w:w="18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Inne właściwości</w:t>
            </w: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zapłonu</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ISO 2592 [70]</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235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235</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r>
      <w:tr w:rsidR="005924B0" w:rsidRPr="005924B0" w:rsidTr="00EB0210">
        <w:trPr>
          <w:trHeight w:val="590"/>
        </w:trPr>
        <w:tc>
          <w:tcPr>
            <w:tcW w:w="1806"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dodatkowe</w:t>
            </w: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łamliwości</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12593 [26]</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-10</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-15</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Nawrót sprężysty w 25°C</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13398 [58]</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60</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80</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Nawrót sprężysty w 10°C</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TBR</w:t>
            </w:r>
            <w:r w:rsidRPr="005924B0">
              <w:rPr>
                <w:rFonts w:ascii="Times New Roman" w:eastAsiaTheme="minorEastAsia" w:hAnsi="Times New Roman" w:cs="Times New Roman"/>
                <w:sz w:val="24"/>
                <w:szCs w:val="24"/>
                <w:vertAlign w:val="superscript"/>
                <w:lang w:eastAsia="pl-PL"/>
              </w:rPr>
              <w:t>b</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Zakres plastyczności</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14023 [66] Punkt 5.1.9</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Stabilność magazynowania. Różnica temperatury mięknienia</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13399 [59]</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5</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Stabilność magazynowania. Różnica penetracji</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13399 [59]</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 [21]</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0,1 mm</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Spadek temperatury mięknienia po starzeniu wg PN-EN 12607 -1 lub -3 [29][30]</w:t>
            </w:r>
          </w:p>
        </w:tc>
        <w:tc>
          <w:tcPr>
            <w:tcW w:w="25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12607-1 [29]</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TBR</w:t>
            </w:r>
            <w:r w:rsidRPr="005924B0">
              <w:rPr>
                <w:rFonts w:ascii="Times New Roman" w:eastAsiaTheme="minorEastAsia" w:hAnsi="Times New Roman" w:cs="Times New Roman"/>
                <w:sz w:val="24"/>
                <w:szCs w:val="24"/>
                <w:vertAlign w:val="superscript"/>
                <w:lang w:eastAsia="pl-PL"/>
              </w:rPr>
              <w:t>b</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TBR</w:t>
            </w:r>
            <w:r w:rsidRPr="005924B0">
              <w:rPr>
                <w:rFonts w:ascii="Times New Roman" w:eastAsiaTheme="minorEastAsia" w:hAnsi="Times New Roman" w:cs="Times New Roman"/>
                <w:sz w:val="24"/>
                <w:szCs w:val="24"/>
                <w:vertAlign w:val="superscript"/>
                <w:lang w:eastAsia="pl-PL"/>
              </w:rPr>
              <w:t>b</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Nawrót sprężysty w 25°C po starzeniu wg PN-EN 12607-1 </w:t>
            </w:r>
            <w:proofErr w:type="gramStart"/>
            <w:r w:rsidRPr="005924B0">
              <w:rPr>
                <w:rFonts w:ascii="Times New Roman" w:eastAsiaTheme="minorEastAsia" w:hAnsi="Times New Roman" w:cs="Times New Roman"/>
                <w:sz w:val="24"/>
                <w:szCs w:val="24"/>
                <w:lang w:eastAsia="pl-PL"/>
              </w:rPr>
              <w:t>lub  -</w:t>
            </w:r>
            <w:proofErr w:type="gramEnd"/>
            <w:r w:rsidRPr="005924B0">
              <w:rPr>
                <w:rFonts w:ascii="Times New Roman" w:eastAsiaTheme="minorEastAsia" w:hAnsi="Times New Roman" w:cs="Times New Roman"/>
                <w:sz w:val="24"/>
                <w:szCs w:val="24"/>
                <w:lang w:eastAsia="pl-PL"/>
              </w:rPr>
              <w:t>3 [29][30]</w:t>
            </w:r>
          </w:p>
        </w:tc>
        <w:tc>
          <w:tcPr>
            <w:tcW w:w="2552"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12607-1 [29]</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13398 [58]</w:t>
            </w:r>
          </w:p>
        </w:tc>
        <w:tc>
          <w:tcPr>
            <w:tcW w:w="8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50</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50</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r>
      <w:tr w:rsidR="005924B0" w:rsidRPr="005924B0" w:rsidTr="00EB021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22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Nawrót sprężysty w 10°C po starzeniu wg PN-EN 12607-1 </w:t>
            </w:r>
            <w:proofErr w:type="gramStart"/>
            <w:r w:rsidRPr="005924B0">
              <w:rPr>
                <w:rFonts w:ascii="Times New Roman" w:eastAsiaTheme="minorEastAsia" w:hAnsi="Times New Roman" w:cs="Times New Roman"/>
                <w:sz w:val="24"/>
                <w:szCs w:val="24"/>
                <w:lang w:eastAsia="pl-PL"/>
              </w:rPr>
              <w:t>lub  -</w:t>
            </w:r>
            <w:proofErr w:type="gramEnd"/>
            <w:r w:rsidRPr="005924B0">
              <w:rPr>
                <w:rFonts w:ascii="Times New Roman" w:eastAsiaTheme="minorEastAsia" w:hAnsi="Times New Roman" w:cs="Times New Roman"/>
                <w:sz w:val="24"/>
                <w:szCs w:val="24"/>
                <w:lang w:eastAsia="pl-PL"/>
              </w:rPr>
              <w:t>3 [29][30]</w:t>
            </w:r>
          </w:p>
        </w:tc>
        <w:tc>
          <w:tcPr>
            <w:tcW w:w="0" w:type="auto"/>
            <w:vMerge/>
            <w:tcBorders>
              <w:top w:val="nil"/>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846" w:type="dxa"/>
            <w:tcBorders>
              <w:top w:val="nil"/>
              <w:left w:val="nil"/>
              <w:bottom w:val="single" w:sz="8" w:space="0" w:color="auto"/>
              <w:right w:val="single" w:sz="8" w:space="0" w:color="auto"/>
            </w:tcBorders>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p>
        </w:tc>
        <w:tc>
          <w:tcPr>
            <w:tcW w:w="13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c>
          <w:tcPr>
            <w:tcW w:w="13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NPD</w:t>
            </w:r>
            <w:r w:rsidRPr="005924B0">
              <w:rPr>
                <w:rFonts w:ascii="Times New Roman" w:eastAsiaTheme="minorEastAsia" w:hAnsi="Times New Roman" w:cs="Times New Roman"/>
                <w:sz w:val="24"/>
                <w:szCs w:val="24"/>
                <w:vertAlign w:val="superscript"/>
                <w:lang w:eastAsia="pl-PL"/>
              </w:rPr>
              <w:t>a</w:t>
            </w:r>
          </w:p>
        </w:tc>
        <w:tc>
          <w:tcPr>
            <w:tcW w:w="70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r>
      <w:tr w:rsidR="005924B0" w:rsidRPr="005924B0" w:rsidTr="00EB0210">
        <w:tc>
          <w:tcPr>
            <w:tcW w:w="11595" w:type="dxa"/>
            <w:gridSpan w:val="8"/>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a</w:t>
            </w:r>
            <w:r w:rsidRPr="005924B0">
              <w:rPr>
                <w:rFonts w:ascii="Times New Roman" w:eastAsiaTheme="minorEastAsia" w:hAnsi="Times New Roman" w:cs="Times New Roman"/>
                <w:sz w:val="24"/>
                <w:szCs w:val="24"/>
                <w:lang w:eastAsia="pl-PL"/>
              </w:rPr>
              <w:t xml:space="preserve"> NPD – No Performance Determined (właściwość użytkowa nie określana)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b</w:t>
            </w:r>
            <w:r w:rsidRPr="005924B0">
              <w:rPr>
                <w:rFonts w:ascii="Times New Roman" w:eastAsiaTheme="minorEastAsia" w:hAnsi="Times New Roman" w:cs="Times New Roman"/>
                <w:sz w:val="24"/>
                <w:szCs w:val="24"/>
                <w:lang w:eastAsia="pl-PL"/>
              </w:rPr>
              <w:t xml:space="preserve"> TBR – To Be Reported (do zadeklarowania)</w:t>
            </w:r>
          </w:p>
        </w:tc>
      </w:tr>
    </w:tbl>
    <w:p w:rsidR="005924B0" w:rsidRPr="005924B0" w:rsidRDefault="005924B0" w:rsidP="005924B0">
      <w:pPr>
        <w:overflowPunct w:val="0"/>
        <w:autoSpaceDE w:val="0"/>
        <w:autoSpaceDN w:val="0"/>
        <w:spacing w:before="120" w:after="120" w:line="240" w:lineRule="auto"/>
        <w:ind w:left="1200" w:hanging="120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5. Wymagania wobec asfaltów wielorodzajowych wg PN-EN 13924-2:2014-04/Ap1 i Ap2 [65a]</w:t>
      </w:r>
    </w:p>
    <w:tbl>
      <w:tblPr>
        <w:tblW w:w="8896" w:type="dxa"/>
        <w:tblCellMar>
          <w:left w:w="0" w:type="dxa"/>
          <w:right w:w="0" w:type="dxa"/>
        </w:tblCellMar>
        <w:tblLook w:val="04A0" w:firstRow="1" w:lastRow="0" w:firstColumn="1" w:lastColumn="0" w:noHBand="0" w:noVBand="1"/>
      </w:tblPr>
      <w:tblGrid>
        <w:gridCol w:w="575"/>
        <w:gridCol w:w="1869"/>
        <w:gridCol w:w="957"/>
        <w:gridCol w:w="1584"/>
        <w:gridCol w:w="1150"/>
        <w:gridCol w:w="902"/>
        <w:gridCol w:w="957"/>
        <w:gridCol w:w="902"/>
      </w:tblGrid>
      <w:tr w:rsidR="005924B0" w:rsidRPr="005924B0" w:rsidTr="005924B0">
        <w:tc>
          <w:tcPr>
            <w:tcW w:w="58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Lp.</w:t>
            </w:r>
          </w:p>
        </w:tc>
        <w:tc>
          <w:tcPr>
            <w:tcW w:w="1851" w:type="dxa"/>
            <w:vMerge w:val="restar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w:t>
            </w:r>
          </w:p>
        </w:tc>
        <w:tc>
          <w:tcPr>
            <w:tcW w:w="801" w:type="dxa"/>
            <w:vMerge w:val="restart"/>
            <w:tcBorders>
              <w:top w:val="single" w:sz="8" w:space="0" w:color="auto"/>
              <w:left w:val="nil"/>
              <w:bottom w:val="single" w:sz="8" w:space="0" w:color="auto"/>
              <w:right w:val="single" w:sz="4" w:space="0" w:color="auto"/>
            </w:tcBorders>
            <w:vAlign w:val="cente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Jednostka</w:t>
            </w:r>
          </w:p>
        </w:tc>
        <w:tc>
          <w:tcPr>
            <w:tcW w:w="1680"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w:t>
            </w:r>
          </w:p>
        </w:tc>
        <w:tc>
          <w:tcPr>
            <w:tcW w:w="20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MG 50/70-54/64</w:t>
            </w:r>
          </w:p>
        </w:tc>
        <w:tc>
          <w:tcPr>
            <w:tcW w:w="190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MG 35/50-57/69</w:t>
            </w:r>
          </w:p>
        </w:tc>
      </w:tr>
      <w:tr w:rsidR="005924B0" w:rsidRPr="005924B0" w:rsidTr="005924B0">
        <w:tc>
          <w:tcPr>
            <w:tcW w:w="0" w:type="auto"/>
            <w:vMerge/>
            <w:tcBorders>
              <w:top w:val="single" w:sz="8" w:space="0" w:color="auto"/>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4"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4"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single" w:sz="4"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wyma-ganie</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klasa</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wyma-ganie</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klasa</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Penetracja w 25°C</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0,1 mm</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 [21]</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50÷70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35÷50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54÷64</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57÷69</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Indeks penetracji</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13924-2 [65]</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+0,3 do +2,0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+0,3 </w:t>
            </w:r>
          </w:p>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 +2,0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zapłonu,</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ISO 2592 [70]</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Rozpuszczalność</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12592 [25]</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≥99,0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≥99,0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łamliwości Fraassa</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12593 [26]</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≤-17</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Lepkość dynamiczna w 60°C</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12596 [28]</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≥1500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Lepkość kinematyczna w 135°C</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mm</w:t>
            </w:r>
            <w:r w:rsidRPr="005924B0">
              <w:rPr>
                <w:rFonts w:ascii="Times New Roman" w:eastAsiaTheme="minorEastAsia" w:hAnsi="Times New Roman" w:cs="Times New Roman"/>
                <w:sz w:val="24"/>
                <w:szCs w:val="24"/>
                <w:vertAlign w:val="superscript"/>
                <w:lang w:eastAsia="pl-PL"/>
              </w:rPr>
              <w:t>2</w:t>
            </w:r>
            <w:r w:rsidRPr="005924B0">
              <w:rPr>
                <w:rFonts w:ascii="Times New Roman" w:eastAsiaTheme="minorEastAsia" w:hAnsi="Times New Roman" w:cs="Times New Roman"/>
                <w:sz w:val="24"/>
                <w:szCs w:val="24"/>
                <w:lang w:eastAsia="pl-PL"/>
              </w:rPr>
              <w:t>/s</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12595 [27]</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Brak wymagań</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brak wyma-gań</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w:t>
            </w:r>
          </w:p>
        </w:tc>
      </w:tr>
      <w:tr w:rsidR="005924B0" w:rsidRPr="005924B0" w:rsidTr="005924B0">
        <w:tc>
          <w:tcPr>
            <w:tcW w:w="8896"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po starzeniu</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Pozostała penetracja po starzeniu</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 [21]</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Wzrost temperatury mięknienia po starzeniu</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93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r>
      <w:tr w:rsidR="005924B0" w:rsidRPr="005924B0" w:rsidTr="005924B0">
        <w:tc>
          <w:tcPr>
            <w:tcW w:w="5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11</w:t>
            </w:r>
          </w:p>
        </w:tc>
        <w:tc>
          <w:tcPr>
            <w:tcW w:w="1851"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Zmiana masy po starzeniu</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6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12607-1[29]</w:t>
            </w:r>
          </w:p>
        </w:tc>
        <w:tc>
          <w:tcPr>
            <w:tcW w:w="11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&lt;0,5</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&lt;0,5</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 xml:space="preserve">                </w:t>
      </w:r>
      <w:r w:rsidRPr="005924B0">
        <w:rPr>
          <w:rFonts w:ascii="Times New Roman" w:eastAsiaTheme="minorEastAsia" w:hAnsi="Times New Roman" w:cs="Times New Roman"/>
          <w:sz w:val="24"/>
          <w:szCs w:val="24"/>
          <w:lang w:eastAsia="pl-PL"/>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Polimeroasfalt powinien być magazynowany w zbiorniku wyposażonym w system grzewczy pośredni z termostatem kontrolującym temperaturę z </w:t>
      </w:r>
      <w:proofErr w:type="gramStart"/>
      <w:r w:rsidRPr="005924B0">
        <w:rPr>
          <w:rFonts w:ascii="Times New Roman" w:eastAsiaTheme="minorEastAsia" w:hAnsi="Times New Roman" w:cs="Times New Roman"/>
          <w:sz w:val="24"/>
          <w:szCs w:val="24"/>
          <w:lang w:eastAsia="pl-PL"/>
        </w:rPr>
        <w:t>dokładnością  ±</w:t>
      </w:r>
      <w:proofErr w:type="gramEnd"/>
      <w:r w:rsidRPr="005924B0">
        <w:rPr>
          <w:rFonts w:ascii="Times New Roman" w:eastAsiaTheme="minorEastAsia" w:hAnsi="Times New Roman" w:cs="Times New Roman"/>
          <w:sz w:val="24"/>
          <w:szCs w:val="24"/>
          <w:lang w:eastAsia="pl-PL"/>
        </w:rPr>
        <w:t xml:space="preserve">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Temperatura lepiszcza asfaltowego w zbiorniku magazynowym (roboczym) nie powinna przekraczać w okresie krótkotrwałym, nie dłuższym niż 5 </w:t>
      </w:r>
      <w:proofErr w:type="gramStart"/>
      <w:r w:rsidRPr="005924B0">
        <w:rPr>
          <w:rFonts w:ascii="Times New Roman" w:eastAsiaTheme="minorEastAsia" w:hAnsi="Times New Roman" w:cs="Times New Roman"/>
          <w:sz w:val="24"/>
          <w:szCs w:val="24"/>
          <w:lang w:eastAsia="pl-PL"/>
        </w:rPr>
        <w:t>dni,  poniższych</w:t>
      </w:r>
      <w:proofErr w:type="gramEnd"/>
      <w:r w:rsidRPr="005924B0">
        <w:rPr>
          <w:rFonts w:ascii="Times New Roman" w:eastAsiaTheme="minorEastAsia" w:hAnsi="Times New Roman" w:cs="Times New Roman"/>
          <w:sz w:val="24"/>
          <w:szCs w:val="24"/>
          <w:lang w:eastAsia="pl-PL"/>
        </w:rPr>
        <w:t xml:space="preserve"> wartości: </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asfaltu drogowego 35/50: 190°C,</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asfaltu drogowego 50/70: 180°C,</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lastRenderedPageBreak/>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polimeroasfaltu: wg wskazań producenta,</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asfaltu drogowego wielorodzajowego: wg wskazań producenta.</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 celu ograniczenia ilości emisji gazów cieplarnianych oraz obniżenia temperatury mieszania składników i poprawienia urabialności mma dopuszcza się zastosowanie asfaltu spienionego. </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 xml:space="preserve">2.4. Kruszywo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Do warstwy podbudowy z betonu asfaltowego należy stosować kruszywo według PN-EN 13043 [50] i WT-1 Kruszywa 2014 [81], obejmujące kruszywo grube, kruszywo </w:t>
      </w:r>
      <w:proofErr w:type="gramStart"/>
      <w:r w:rsidRPr="005924B0">
        <w:rPr>
          <w:rFonts w:ascii="Times New Roman" w:eastAsiaTheme="minorEastAsia" w:hAnsi="Times New Roman" w:cs="Times New Roman"/>
          <w:sz w:val="24"/>
          <w:szCs w:val="24"/>
          <w:lang w:eastAsia="pl-PL"/>
        </w:rPr>
        <w:t>drobne  i</w:t>
      </w:r>
      <w:proofErr w:type="gramEnd"/>
      <w:r w:rsidRPr="005924B0">
        <w:rPr>
          <w:rFonts w:ascii="Times New Roman" w:eastAsiaTheme="minorEastAsia" w:hAnsi="Times New Roman" w:cs="Times New Roman"/>
          <w:sz w:val="24"/>
          <w:szCs w:val="24"/>
          <w:lang w:eastAsia="pl-PL"/>
        </w:rPr>
        <w:t xml:space="preserve"> wypełniacz. W mieszance mineralno-asfaltowej jako kruszywo drobne należy stosować mieszankę kruszywa łamanego i niełamanego (dla KR1÷KR2 dopuszcza się stosowanie w mieszance mineralnej do 100% kruszywa drobnego niełamanego) lub kruszywo łamane).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Jeżeli stosowana jest mieszanka kruszywa drobnego niełamanego i łamanego, to należy przyjąć proporcje kruszywa łamanego do niełamanego co najmniej 50/50.</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Kruszywa powinny spełniać wymagania podane w WT-1 Kruszywa 2014 [81</w:t>
      </w:r>
      <w:proofErr w:type="gramStart"/>
      <w:r w:rsidRPr="005924B0">
        <w:rPr>
          <w:rFonts w:ascii="Times New Roman" w:eastAsiaTheme="minorEastAsia" w:hAnsi="Times New Roman" w:cs="Times New Roman"/>
          <w:sz w:val="24"/>
          <w:szCs w:val="24"/>
          <w:lang w:eastAsia="pl-PL"/>
        </w:rPr>
        <w:t>],  wg</w:t>
      </w:r>
      <w:proofErr w:type="gramEnd"/>
      <w:r w:rsidRPr="005924B0">
        <w:rPr>
          <w:rFonts w:ascii="Times New Roman" w:eastAsiaTheme="minorEastAsia" w:hAnsi="Times New Roman" w:cs="Times New Roman"/>
          <w:sz w:val="24"/>
          <w:szCs w:val="24"/>
          <w:lang w:eastAsia="pl-PL"/>
        </w:rPr>
        <w:t xml:space="preserve"> tablic poniżej.</w:t>
      </w:r>
    </w:p>
    <w:p w:rsidR="005924B0" w:rsidRPr="005924B0" w:rsidRDefault="005924B0" w:rsidP="005924B0">
      <w:pPr>
        <w:overflowPunct w:val="0"/>
        <w:autoSpaceDE w:val="0"/>
        <w:autoSpaceDN w:val="0"/>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 Kruszywo grube do podbudowy z betonu asfaltowego powinno spełniać wymagania podane w tablicy 6.</w:t>
      </w:r>
    </w:p>
    <w:p w:rsidR="005924B0" w:rsidRPr="005924B0" w:rsidRDefault="005924B0" w:rsidP="005924B0">
      <w:pPr>
        <w:overflowPunct w:val="0"/>
        <w:autoSpaceDE w:val="0"/>
        <w:autoSpaceDN w:val="0"/>
        <w:spacing w:before="120" w:after="120" w:line="240" w:lineRule="auto"/>
        <w:ind w:left="993" w:hanging="993"/>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6. Wymagane właściwości kruszywa grubego do </w:t>
      </w:r>
      <w:proofErr w:type="gramStart"/>
      <w:r w:rsidRPr="005924B0">
        <w:rPr>
          <w:rFonts w:ascii="Times New Roman" w:eastAsiaTheme="minorEastAsia" w:hAnsi="Times New Roman" w:cs="Times New Roman"/>
          <w:sz w:val="24"/>
          <w:szCs w:val="24"/>
          <w:lang w:eastAsia="pl-PL"/>
        </w:rPr>
        <w:t>podbudowy  z</w:t>
      </w:r>
      <w:proofErr w:type="gramEnd"/>
      <w:r w:rsidRPr="005924B0">
        <w:rPr>
          <w:rFonts w:ascii="Times New Roman" w:eastAsiaTheme="minorEastAsia" w:hAnsi="Times New Roman" w:cs="Times New Roman"/>
          <w:sz w:val="24"/>
          <w:szCs w:val="24"/>
          <w:lang w:eastAsia="pl-PL"/>
        </w:rPr>
        <w:t xml:space="preserve"> betonu asfaltowego</w:t>
      </w:r>
    </w:p>
    <w:tbl>
      <w:tblPr>
        <w:tblW w:w="8828" w:type="dxa"/>
        <w:tblInd w:w="108" w:type="dxa"/>
        <w:tblCellMar>
          <w:left w:w="0" w:type="dxa"/>
          <w:right w:w="0" w:type="dxa"/>
        </w:tblCellMar>
        <w:tblLook w:val="04A0" w:firstRow="1" w:lastRow="0" w:firstColumn="1" w:lastColumn="0" w:noHBand="0" w:noVBand="1"/>
      </w:tblPr>
      <w:tblGrid>
        <w:gridCol w:w="568"/>
        <w:gridCol w:w="3966"/>
        <w:gridCol w:w="8"/>
        <w:gridCol w:w="1422"/>
        <w:gridCol w:w="1412"/>
        <w:gridCol w:w="8"/>
        <w:gridCol w:w="1444"/>
      </w:tblGrid>
      <w:tr w:rsidR="005924B0" w:rsidRPr="005924B0" w:rsidTr="005924B0">
        <w:trPr>
          <w:trHeight w:val="582"/>
        </w:trPr>
        <w:tc>
          <w:tcPr>
            <w:tcW w:w="568"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Lp.</w:t>
            </w:r>
          </w:p>
        </w:tc>
        <w:tc>
          <w:tcPr>
            <w:tcW w:w="3974" w:type="dxa"/>
            <w:gridSpan w:val="2"/>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kruszywa</w:t>
            </w:r>
          </w:p>
        </w:tc>
        <w:tc>
          <w:tcPr>
            <w:tcW w:w="4286"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Wymagania w zależności od kategorii ruchu</w:t>
            </w:r>
          </w:p>
        </w:tc>
      </w:tr>
      <w:tr w:rsidR="005924B0" w:rsidRPr="005924B0" w:rsidTr="005924B0">
        <w:trPr>
          <w:trHeight w:val="3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gridSpan w:val="2"/>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42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KR1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KR2</w:t>
            </w:r>
          </w:p>
        </w:tc>
        <w:tc>
          <w:tcPr>
            <w:tcW w:w="142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KR3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KR4</w:t>
            </w:r>
          </w:p>
        </w:tc>
        <w:tc>
          <w:tcPr>
            <w:tcW w:w="144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KR5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KR7</w:t>
            </w:r>
          </w:p>
        </w:tc>
      </w:tr>
      <w:tr w:rsidR="005924B0" w:rsidRPr="005924B0" w:rsidTr="005924B0">
        <w:trPr>
          <w:trHeight w:val="582"/>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39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 według PN-EN 933-1 [6]; kategoria nie niższa niż:</w:t>
            </w:r>
          </w:p>
        </w:tc>
        <w:tc>
          <w:tcPr>
            <w:tcW w:w="143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C</w:t>
            </w:r>
            <w:r w:rsidRPr="005924B0">
              <w:rPr>
                <w:rFonts w:ascii="Times New Roman" w:eastAsiaTheme="minorEastAsia" w:hAnsi="Times New Roman" w:cs="Times New Roman"/>
                <w:sz w:val="24"/>
                <w:szCs w:val="24"/>
                <w:lang w:eastAsia="pl-PL"/>
              </w:rPr>
              <w:t>85/20</w:t>
            </w:r>
          </w:p>
        </w:tc>
        <w:tc>
          <w:tcPr>
            <w:tcW w:w="141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C</w:t>
            </w:r>
            <w:r w:rsidRPr="005924B0">
              <w:rPr>
                <w:rFonts w:ascii="Times New Roman" w:eastAsiaTheme="minorEastAsia" w:hAnsi="Times New Roman" w:cs="Times New Roman"/>
                <w:sz w:val="24"/>
                <w:szCs w:val="24"/>
                <w:lang w:eastAsia="pl-PL"/>
              </w:rPr>
              <w:t>85/20</w:t>
            </w:r>
          </w:p>
        </w:tc>
        <w:tc>
          <w:tcPr>
            <w:tcW w:w="1452"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C</w:t>
            </w:r>
            <w:r w:rsidRPr="005924B0">
              <w:rPr>
                <w:rFonts w:ascii="Times New Roman" w:eastAsiaTheme="minorEastAsia" w:hAnsi="Times New Roman" w:cs="Times New Roman"/>
                <w:sz w:val="24"/>
                <w:szCs w:val="24"/>
                <w:lang w:eastAsia="pl-PL"/>
              </w:rPr>
              <w:t>85/20</w:t>
            </w:r>
          </w:p>
        </w:tc>
      </w:tr>
      <w:tr w:rsidR="005924B0" w:rsidRPr="005924B0" w:rsidTr="005924B0">
        <w:trPr>
          <w:trHeight w:val="872"/>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39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Tolerancja uziarnienia; odchylenia nie większe niż według kategorii:</w:t>
            </w:r>
          </w:p>
        </w:tc>
        <w:tc>
          <w:tcPr>
            <w:tcW w:w="143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25/15</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20/15</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20/17,5</w:t>
            </w:r>
          </w:p>
        </w:tc>
        <w:tc>
          <w:tcPr>
            <w:tcW w:w="141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25/15</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20/15</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20/17,5</w:t>
            </w:r>
          </w:p>
        </w:tc>
        <w:tc>
          <w:tcPr>
            <w:tcW w:w="145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25/15</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20/15</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20/17,5</w:t>
            </w:r>
          </w:p>
        </w:tc>
      </w:tr>
      <w:tr w:rsidR="005924B0" w:rsidRPr="005924B0" w:rsidTr="005924B0">
        <w:trPr>
          <w:trHeight w:val="582"/>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39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pyłu według PN-EN 933-1 [6]; kategoria nie wyższa niż:</w:t>
            </w:r>
          </w:p>
        </w:tc>
        <w:tc>
          <w:tcPr>
            <w:tcW w:w="143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sz w:val="24"/>
                <w:szCs w:val="24"/>
                <w:vertAlign w:val="subscript"/>
                <w:lang w:eastAsia="pl-PL"/>
              </w:rPr>
              <w:t>2</w:t>
            </w:r>
          </w:p>
        </w:tc>
        <w:tc>
          <w:tcPr>
            <w:tcW w:w="141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sz w:val="24"/>
                <w:szCs w:val="24"/>
                <w:vertAlign w:val="subscript"/>
                <w:lang w:eastAsia="pl-PL"/>
              </w:rPr>
              <w:t>2</w:t>
            </w:r>
          </w:p>
        </w:tc>
        <w:tc>
          <w:tcPr>
            <w:tcW w:w="145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sz w:val="24"/>
                <w:szCs w:val="24"/>
                <w:vertAlign w:val="subscript"/>
                <w:lang w:eastAsia="pl-PL"/>
              </w:rPr>
              <w:t>2</w:t>
            </w:r>
          </w:p>
        </w:tc>
      </w:tr>
      <w:tr w:rsidR="005924B0" w:rsidRPr="005924B0" w:rsidTr="005924B0">
        <w:trPr>
          <w:trHeight w:val="872"/>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39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Kształt kruszywa według PN-EN 933-3 [7] lub według PN-EN 933-4 [8]; kategoria nie wyższa niż:</w:t>
            </w:r>
          </w:p>
        </w:tc>
        <w:tc>
          <w:tcPr>
            <w:tcW w:w="143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FI</w:t>
            </w:r>
            <w:r w:rsidRPr="005924B0">
              <w:rPr>
                <w:rFonts w:ascii="Times New Roman" w:eastAsiaTheme="minorEastAsia" w:hAnsi="Times New Roman" w:cs="Times New Roman"/>
                <w:i/>
                <w:iCs/>
                <w:sz w:val="24"/>
                <w:szCs w:val="24"/>
                <w:vertAlign w:val="subscript"/>
                <w:lang w:eastAsia="pl-PL"/>
              </w:rPr>
              <w:t>50</w:t>
            </w:r>
            <w:r w:rsidRPr="005924B0">
              <w:rPr>
                <w:rFonts w:ascii="Times New Roman" w:eastAsiaTheme="minorEastAsia" w:hAnsi="Times New Roman" w:cs="Times New Roman"/>
                <w:sz w:val="24"/>
                <w:szCs w:val="24"/>
                <w:lang w:eastAsia="pl-PL"/>
              </w:rPr>
              <w:t xml:space="preserve"> lub </w:t>
            </w:r>
            <w:r w:rsidRPr="005924B0">
              <w:rPr>
                <w:rFonts w:ascii="Times New Roman" w:eastAsiaTheme="minorEastAsia" w:hAnsi="Times New Roman" w:cs="Times New Roman"/>
                <w:i/>
                <w:iCs/>
                <w:sz w:val="24"/>
                <w:szCs w:val="24"/>
                <w:lang w:eastAsia="pl-PL"/>
              </w:rPr>
              <w:t>SI</w:t>
            </w:r>
            <w:r w:rsidRPr="005924B0">
              <w:rPr>
                <w:rFonts w:ascii="Times New Roman" w:eastAsiaTheme="minorEastAsia" w:hAnsi="Times New Roman" w:cs="Times New Roman"/>
                <w:i/>
                <w:iCs/>
                <w:sz w:val="24"/>
                <w:szCs w:val="24"/>
                <w:vertAlign w:val="subscript"/>
                <w:lang w:eastAsia="pl-PL"/>
              </w:rPr>
              <w:t>50</w:t>
            </w:r>
          </w:p>
        </w:tc>
        <w:tc>
          <w:tcPr>
            <w:tcW w:w="141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FI</w:t>
            </w:r>
            <w:r w:rsidRPr="005924B0">
              <w:rPr>
                <w:rFonts w:ascii="Times New Roman" w:eastAsiaTheme="minorEastAsia" w:hAnsi="Times New Roman" w:cs="Times New Roman"/>
                <w:i/>
                <w:iCs/>
                <w:sz w:val="24"/>
                <w:szCs w:val="24"/>
                <w:vertAlign w:val="subscript"/>
                <w:lang w:eastAsia="pl-PL"/>
              </w:rPr>
              <w:t>30</w:t>
            </w:r>
            <w:r w:rsidRPr="005924B0">
              <w:rPr>
                <w:rFonts w:ascii="Times New Roman" w:eastAsiaTheme="minorEastAsia" w:hAnsi="Times New Roman" w:cs="Times New Roman"/>
                <w:sz w:val="24"/>
                <w:szCs w:val="24"/>
                <w:lang w:eastAsia="pl-PL"/>
              </w:rPr>
              <w:t xml:space="preserve"> lub </w:t>
            </w:r>
            <w:r w:rsidRPr="005924B0">
              <w:rPr>
                <w:rFonts w:ascii="Times New Roman" w:eastAsiaTheme="minorEastAsia" w:hAnsi="Times New Roman" w:cs="Times New Roman"/>
                <w:i/>
                <w:iCs/>
                <w:sz w:val="24"/>
                <w:szCs w:val="24"/>
                <w:lang w:eastAsia="pl-PL"/>
              </w:rPr>
              <w:t>SI</w:t>
            </w:r>
            <w:r w:rsidRPr="005924B0">
              <w:rPr>
                <w:rFonts w:ascii="Times New Roman" w:eastAsiaTheme="minorEastAsia" w:hAnsi="Times New Roman" w:cs="Times New Roman"/>
                <w:i/>
                <w:iCs/>
                <w:sz w:val="24"/>
                <w:szCs w:val="24"/>
                <w:vertAlign w:val="subscript"/>
                <w:lang w:eastAsia="pl-PL"/>
              </w:rPr>
              <w:t>30</w:t>
            </w:r>
          </w:p>
        </w:tc>
        <w:tc>
          <w:tcPr>
            <w:tcW w:w="145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FI</w:t>
            </w:r>
            <w:r w:rsidRPr="005924B0">
              <w:rPr>
                <w:rFonts w:ascii="Times New Roman" w:eastAsiaTheme="minorEastAsia" w:hAnsi="Times New Roman" w:cs="Times New Roman"/>
                <w:i/>
                <w:iCs/>
                <w:sz w:val="24"/>
                <w:szCs w:val="24"/>
                <w:vertAlign w:val="subscript"/>
                <w:lang w:eastAsia="pl-PL"/>
              </w:rPr>
              <w:t>30</w:t>
            </w:r>
            <w:r w:rsidRPr="005924B0">
              <w:rPr>
                <w:rFonts w:ascii="Times New Roman" w:eastAsiaTheme="minorEastAsia" w:hAnsi="Times New Roman" w:cs="Times New Roman"/>
                <w:sz w:val="24"/>
                <w:szCs w:val="24"/>
                <w:lang w:eastAsia="pl-PL"/>
              </w:rPr>
              <w:t xml:space="preserve"> lub </w:t>
            </w:r>
            <w:r w:rsidRPr="005924B0">
              <w:rPr>
                <w:rFonts w:ascii="Times New Roman" w:eastAsiaTheme="minorEastAsia" w:hAnsi="Times New Roman" w:cs="Times New Roman"/>
                <w:i/>
                <w:iCs/>
                <w:sz w:val="24"/>
                <w:szCs w:val="24"/>
                <w:lang w:eastAsia="pl-PL"/>
              </w:rPr>
              <w:t>SI</w:t>
            </w:r>
            <w:r w:rsidRPr="005924B0">
              <w:rPr>
                <w:rFonts w:ascii="Times New Roman" w:eastAsiaTheme="minorEastAsia" w:hAnsi="Times New Roman" w:cs="Times New Roman"/>
                <w:i/>
                <w:iCs/>
                <w:sz w:val="24"/>
                <w:szCs w:val="24"/>
                <w:vertAlign w:val="subscript"/>
                <w:lang w:eastAsia="pl-PL"/>
              </w:rPr>
              <w:t>30</w:t>
            </w:r>
          </w:p>
        </w:tc>
      </w:tr>
      <w:tr w:rsidR="005924B0" w:rsidRPr="005924B0" w:rsidTr="005924B0">
        <w:trPr>
          <w:trHeight w:val="1163"/>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39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Procentowa zawartość ziaren o powierzchni przekruszonej i łamanej w kruszywie grubym według PN-EN 933-5 [9]; kategoria nie niższa niż:</w:t>
            </w:r>
          </w:p>
        </w:tc>
        <w:tc>
          <w:tcPr>
            <w:tcW w:w="143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3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C</w:t>
            </w:r>
            <w:r w:rsidRPr="005924B0">
              <w:rPr>
                <w:rFonts w:ascii="Times New Roman" w:eastAsiaTheme="minorEastAsia" w:hAnsi="Times New Roman" w:cs="Times New Roman"/>
                <w:i/>
                <w:iCs/>
                <w:sz w:val="24"/>
                <w:szCs w:val="24"/>
                <w:vertAlign w:val="subscript"/>
                <w:lang w:eastAsia="pl-PL"/>
              </w:rPr>
              <w:t>Deklarowana</w:t>
            </w:r>
          </w:p>
        </w:tc>
        <w:tc>
          <w:tcPr>
            <w:tcW w:w="141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3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C</w:t>
            </w:r>
            <w:r w:rsidRPr="005924B0">
              <w:rPr>
                <w:rFonts w:ascii="Times New Roman" w:eastAsiaTheme="minorEastAsia" w:hAnsi="Times New Roman" w:cs="Times New Roman"/>
                <w:i/>
                <w:iCs/>
                <w:sz w:val="24"/>
                <w:szCs w:val="24"/>
                <w:vertAlign w:val="subscript"/>
                <w:lang w:eastAsia="pl-PL"/>
              </w:rPr>
              <w:t>50</w:t>
            </w:r>
            <w:r w:rsidRPr="005924B0">
              <w:rPr>
                <w:rFonts w:ascii="Times New Roman" w:eastAsiaTheme="minorEastAsia" w:hAnsi="Times New Roman" w:cs="Times New Roman"/>
                <w:sz w:val="24"/>
                <w:szCs w:val="24"/>
                <w:vertAlign w:val="subscript"/>
                <w:lang w:eastAsia="pl-PL"/>
              </w:rPr>
              <w:t>/30</w:t>
            </w:r>
          </w:p>
        </w:tc>
        <w:tc>
          <w:tcPr>
            <w:tcW w:w="145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C</w:t>
            </w:r>
            <w:r w:rsidRPr="005924B0">
              <w:rPr>
                <w:rFonts w:ascii="Times New Roman" w:eastAsiaTheme="minorEastAsia" w:hAnsi="Times New Roman" w:cs="Times New Roman"/>
                <w:i/>
                <w:iCs/>
                <w:sz w:val="24"/>
                <w:szCs w:val="24"/>
                <w:vertAlign w:val="subscript"/>
                <w:lang w:eastAsia="pl-PL"/>
              </w:rPr>
              <w:t>50</w:t>
            </w:r>
            <w:r w:rsidRPr="005924B0">
              <w:rPr>
                <w:rFonts w:ascii="Times New Roman" w:eastAsiaTheme="minorEastAsia" w:hAnsi="Times New Roman" w:cs="Times New Roman"/>
                <w:sz w:val="24"/>
                <w:szCs w:val="24"/>
                <w:vertAlign w:val="subscript"/>
                <w:lang w:eastAsia="pl-PL"/>
              </w:rPr>
              <w:t>/30</w:t>
            </w:r>
          </w:p>
        </w:tc>
      </w:tr>
      <w:tr w:rsidR="005924B0" w:rsidRPr="005924B0" w:rsidTr="005924B0">
        <w:trPr>
          <w:trHeight w:val="1454"/>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Odporność kruszywa na rozdrabnianie według normy PN-EN 1097-2 [13], badana na kruszywie o wymiarze 10/14, rozdział 5, kategoria nie wyższa niż:</w:t>
            </w:r>
          </w:p>
        </w:tc>
        <w:tc>
          <w:tcPr>
            <w:tcW w:w="142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LA</w:t>
            </w:r>
            <w:r w:rsidRPr="005924B0">
              <w:rPr>
                <w:rFonts w:ascii="Times New Roman" w:eastAsiaTheme="minorEastAsia" w:hAnsi="Times New Roman" w:cs="Times New Roman"/>
                <w:i/>
                <w:iCs/>
                <w:sz w:val="24"/>
                <w:szCs w:val="24"/>
                <w:vertAlign w:val="subscript"/>
                <w:lang w:eastAsia="pl-PL"/>
              </w:rPr>
              <w:t>50</w:t>
            </w:r>
          </w:p>
        </w:tc>
        <w:tc>
          <w:tcPr>
            <w:tcW w:w="142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LA</w:t>
            </w:r>
            <w:r w:rsidRPr="005924B0">
              <w:rPr>
                <w:rFonts w:ascii="Times New Roman" w:eastAsiaTheme="minorEastAsia" w:hAnsi="Times New Roman" w:cs="Times New Roman"/>
                <w:i/>
                <w:iCs/>
                <w:sz w:val="24"/>
                <w:szCs w:val="24"/>
                <w:vertAlign w:val="subscript"/>
                <w:lang w:eastAsia="pl-PL"/>
              </w:rPr>
              <w:t>40</w:t>
            </w:r>
          </w:p>
        </w:tc>
        <w:tc>
          <w:tcPr>
            <w:tcW w:w="144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LA</w:t>
            </w:r>
            <w:r w:rsidRPr="005924B0">
              <w:rPr>
                <w:rFonts w:ascii="Times New Roman" w:eastAsiaTheme="minorEastAsia" w:hAnsi="Times New Roman" w:cs="Times New Roman"/>
                <w:sz w:val="24"/>
                <w:szCs w:val="24"/>
                <w:vertAlign w:val="subscript"/>
                <w:lang w:eastAsia="pl-PL"/>
              </w:rPr>
              <w:t>40</w:t>
            </w:r>
          </w:p>
        </w:tc>
      </w:tr>
      <w:tr w:rsidR="005924B0" w:rsidRPr="005924B0" w:rsidTr="005924B0">
        <w:trPr>
          <w:trHeight w:val="704"/>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 ziaren według PN-EN 1097-6 [17], rozdział 7, 8 lub 9:</w:t>
            </w:r>
          </w:p>
        </w:tc>
        <w:tc>
          <w:tcPr>
            <w:tcW w:w="4286"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tc>
      </w:tr>
      <w:tr w:rsidR="005924B0" w:rsidRPr="005924B0" w:rsidTr="005924B0">
        <w:trPr>
          <w:trHeight w:val="704"/>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Nasiąkliwość według PN-EN 1097-6 [17], rozdział 7, 8 lub 9:</w:t>
            </w:r>
          </w:p>
        </w:tc>
        <w:tc>
          <w:tcPr>
            <w:tcW w:w="4286"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tc>
      </w:tr>
      <w:tr w:rsidR="005924B0" w:rsidRPr="005924B0" w:rsidTr="005924B0">
        <w:trPr>
          <w:trHeight w:val="1163"/>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9</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Mrozoodporność według PN-EN 1367-1 [19], badana na kruszywie 8/11, 11/16 lub 8/16; kategoria nie wyższa niż:</w:t>
            </w:r>
          </w:p>
        </w:tc>
        <w:tc>
          <w:tcPr>
            <w:tcW w:w="142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i/>
                <w:iCs/>
                <w:sz w:val="24"/>
                <w:szCs w:val="24"/>
                <w:vertAlign w:val="subscript"/>
                <w:lang w:eastAsia="pl-PL"/>
              </w:rPr>
              <w:t>4</w:t>
            </w:r>
          </w:p>
        </w:tc>
        <w:tc>
          <w:tcPr>
            <w:tcW w:w="142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i/>
                <w:iCs/>
                <w:sz w:val="24"/>
                <w:szCs w:val="24"/>
                <w:vertAlign w:val="subscript"/>
                <w:lang w:eastAsia="pl-PL"/>
              </w:rPr>
              <w:t>4</w:t>
            </w:r>
          </w:p>
        </w:tc>
        <w:tc>
          <w:tcPr>
            <w:tcW w:w="144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i/>
                <w:iCs/>
                <w:sz w:val="24"/>
                <w:szCs w:val="24"/>
                <w:vertAlign w:val="subscript"/>
                <w:lang w:eastAsia="pl-PL"/>
              </w:rPr>
              <w:t>4</w:t>
            </w:r>
          </w:p>
        </w:tc>
      </w:tr>
      <w:tr w:rsidR="005924B0" w:rsidRPr="005924B0" w:rsidTr="005924B0">
        <w:trPr>
          <w:trHeight w:val="872"/>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„Zgorzel słoneczna” bazaltu według </w:t>
            </w:r>
            <w:r w:rsidRPr="005924B0">
              <w:rPr>
                <w:rFonts w:ascii="Times New Roman" w:eastAsiaTheme="minorEastAsia" w:hAnsi="Times New Roman" w:cs="Times New Roman"/>
                <w:sz w:val="24"/>
                <w:szCs w:val="24"/>
                <w:lang w:eastAsia="pl-PL"/>
              </w:rPr>
              <w:br/>
              <w:t>PN-EN 1367-3 [20]; wymagana kategoria:</w:t>
            </w:r>
          </w:p>
        </w:tc>
        <w:tc>
          <w:tcPr>
            <w:tcW w:w="142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SB</w:t>
            </w:r>
            <w:r w:rsidRPr="005924B0">
              <w:rPr>
                <w:rFonts w:ascii="Times New Roman" w:eastAsiaTheme="minorEastAsia" w:hAnsi="Times New Roman" w:cs="Times New Roman"/>
                <w:sz w:val="24"/>
                <w:szCs w:val="24"/>
                <w:vertAlign w:val="subscript"/>
                <w:lang w:eastAsia="pl-PL"/>
              </w:rPr>
              <w:t>LA</w:t>
            </w:r>
          </w:p>
        </w:tc>
        <w:tc>
          <w:tcPr>
            <w:tcW w:w="142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SB</w:t>
            </w:r>
            <w:r w:rsidRPr="005924B0">
              <w:rPr>
                <w:rFonts w:ascii="Times New Roman" w:eastAsiaTheme="minorEastAsia" w:hAnsi="Times New Roman" w:cs="Times New Roman"/>
                <w:sz w:val="24"/>
                <w:szCs w:val="24"/>
                <w:vertAlign w:val="subscript"/>
                <w:lang w:eastAsia="pl-PL"/>
              </w:rPr>
              <w:t>LA</w:t>
            </w:r>
          </w:p>
        </w:tc>
        <w:tc>
          <w:tcPr>
            <w:tcW w:w="144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SB</w:t>
            </w:r>
            <w:r w:rsidRPr="005924B0">
              <w:rPr>
                <w:rFonts w:ascii="Times New Roman" w:eastAsiaTheme="minorEastAsia" w:hAnsi="Times New Roman" w:cs="Times New Roman"/>
                <w:sz w:val="24"/>
                <w:szCs w:val="24"/>
                <w:vertAlign w:val="subscript"/>
                <w:lang w:eastAsia="pl-PL"/>
              </w:rPr>
              <w:t>LA</w:t>
            </w:r>
          </w:p>
        </w:tc>
      </w:tr>
      <w:tr w:rsidR="005924B0" w:rsidRPr="005924B0" w:rsidTr="005924B0">
        <w:trPr>
          <w:trHeight w:val="872"/>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11</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Skład chemiczny – uproszczony opis petrograficzny według PN-EN 932-3 [5]</w:t>
            </w:r>
          </w:p>
        </w:tc>
        <w:tc>
          <w:tcPr>
            <w:tcW w:w="4286" w:type="dxa"/>
            <w:gridSpan w:val="4"/>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deklarowany przez producenta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tc>
      </w:tr>
      <w:tr w:rsidR="005924B0" w:rsidRPr="005924B0" w:rsidTr="005924B0">
        <w:trPr>
          <w:trHeight w:val="872"/>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Grube zanieczyszczenia lekkie według PN-EN 1744-1 [23], p. 14.2; kategoria nie wyższa niż:</w:t>
            </w:r>
          </w:p>
        </w:tc>
        <w:tc>
          <w:tcPr>
            <w:tcW w:w="142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m</w:t>
            </w:r>
            <w:r w:rsidRPr="005924B0">
              <w:rPr>
                <w:rFonts w:ascii="Times New Roman" w:eastAsiaTheme="minorEastAsia" w:hAnsi="Times New Roman" w:cs="Times New Roman"/>
                <w:sz w:val="24"/>
                <w:szCs w:val="24"/>
                <w:vertAlign w:val="subscript"/>
                <w:lang w:eastAsia="pl-PL"/>
              </w:rPr>
              <w:t>LPC</w:t>
            </w:r>
            <w:r w:rsidRPr="005924B0">
              <w:rPr>
                <w:rFonts w:ascii="Times New Roman" w:eastAsiaTheme="minorEastAsia" w:hAnsi="Times New Roman" w:cs="Times New Roman"/>
                <w:sz w:val="24"/>
                <w:szCs w:val="24"/>
                <w:lang w:eastAsia="pl-PL"/>
              </w:rPr>
              <w:t xml:space="preserve"> 0,1</w:t>
            </w:r>
          </w:p>
        </w:tc>
        <w:tc>
          <w:tcPr>
            <w:tcW w:w="142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m</w:t>
            </w:r>
            <w:r w:rsidRPr="005924B0">
              <w:rPr>
                <w:rFonts w:ascii="Times New Roman" w:eastAsiaTheme="minorEastAsia" w:hAnsi="Times New Roman" w:cs="Times New Roman"/>
                <w:sz w:val="24"/>
                <w:szCs w:val="24"/>
                <w:vertAlign w:val="subscript"/>
                <w:lang w:eastAsia="pl-PL"/>
              </w:rPr>
              <w:t>LPC</w:t>
            </w:r>
            <w:r w:rsidRPr="005924B0">
              <w:rPr>
                <w:rFonts w:ascii="Times New Roman" w:eastAsiaTheme="minorEastAsia" w:hAnsi="Times New Roman" w:cs="Times New Roman"/>
                <w:sz w:val="24"/>
                <w:szCs w:val="24"/>
                <w:lang w:eastAsia="pl-PL"/>
              </w:rPr>
              <w:t xml:space="preserve"> 0,1</w:t>
            </w:r>
          </w:p>
        </w:tc>
        <w:tc>
          <w:tcPr>
            <w:tcW w:w="144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m</w:t>
            </w:r>
            <w:r w:rsidRPr="005924B0">
              <w:rPr>
                <w:rFonts w:ascii="Times New Roman" w:eastAsiaTheme="minorEastAsia" w:hAnsi="Times New Roman" w:cs="Times New Roman"/>
                <w:sz w:val="24"/>
                <w:szCs w:val="24"/>
                <w:vertAlign w:val="subscript"/>
                <w:lang w:eastAsia="pl-PL"/>
              </w:rPr>
              <w:t>LPC</w:t>
            </w:r>
            <w:r w:rsidRPr="005924B0">
              <w:rPr>
                <w:rFonts w:ascii="Times New Roman" w:eastAsiaTheme="minorEastAsia" w:hAnsi="Times New Roman" w:cs="Times New Roman"/>
                <w:sz w:val="24"/>
                <w:szCs w:val="24"/>
                <w:lang w:eastAsia="pl-PL"/>
              </w:rPr>
              <w:t xml:space="preserve"> 0,1</w:t>
            </w:r>
          </w:p>
        </w:tc>
      </w:tr>
      <w:tr w:rsidR="005924B0" w:rsidRPr="005924B0" w:rsidTr="005924B0">
        <w:trPr>
          <w:trHeight w:val="1163"/>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13</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Rozpad krzemianowy żużla wielkopiecowego chłodzonego powie-trzem według PN-EN 1744-1 [23</w:t>
            </w:r>
            <w:proofErr w:type="gramStart"/>
            <w:r w:rsidRPr="005924B0">
              <w:rPr>
                <w:rFonts w:ascii="Times New Roman" w:eastAsiaTheme="minorEastAsia" w:hAnsi="Times New Roman" w:cs="Times New Roman"/>
                <w:sz w:val="24"/>
                <w:szCs w:val="24"/>
                <w:lang w:eastAsia="pl-PL"/>
              </w:rPr>
              <w:t>],   </w:t>
            </w:r>
            <w:proofErr w:type="gramEnd"/>
            <w:r w:rsidRPr="005924B0">
              <w:rPr>
                <w:rFonts w:ascii="Times New Roman" w:eastAsiaTheme="minorEastAsia" w:hAnsi="Times New Roman" w:cs="Times New Roman"/>
                <w:sz w:val="24"/>
                <w:szCs w:val="24"/>
                <w:lang w:eastAsia="pl-PL"/>
              </w:rPr>
              <w:t>    p. 19.1:</w:t>
            </w:r>
          </w:p>
        </w:tc>
        <w:tc>
          <w:tcPr>
            <w:tcW w:w="4286"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wymagana odporność</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tc>
      </w:tr>
      <w:tr w:rsidR="005924B0" w:rsidRPr="005924B0" w:rsidTr="005924B0">
        <w:trPr>
          <w:trHeight w:val="1163"/>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14</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Rozpad żelazowy żużla wielkopiecowego chłodzonego powietrzem według PN-EN 1744-1[23], p. 19.2:</w:t>
            </w:r>
          </w:p>
        </w:tc>
        <w:tc>
          <w:tcPr>
            <w:tcW w:w="4286"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wymagana odporność</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tc>
      </w:tr>
      <w:tr w:rsidR="005924B0" w:rsidRPr="005924B0" w:rsidTr="005924B0">
        <w:trPr>
          <w:trHeight w:val="872"/>
        </w:trPr>
        <w:tc>
          <w:tcPr>
            <w:tcW w:w="5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c>
          <w:tcPr>
            <w:tcW w:w="397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Stałość objętości kruszywa z żużla stalowniczego według PN-EN 1744-1 [23] p. 19.3; kategoria nie wyższa niż:</w:t>
            </w:r>
          </w:p>
        </w:tc>
        <w:tc>
          <w:tcPr>
            <w:tcW w:w="142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V</w:t>
            </w:r>
            <w:r w:rsidRPr="005924B0">
              <w:rPr>
                <w:rFonts w:ascii="Times New Roman" w:eastAsiaTheme="minorEastAsia" w:hAnsi="Times New Roman" w:cs="Times New Roman"/>
                <w:sz w:val="24"/>
                <w:szCs w:val="24"/>
                <w:vertAlign w:val="subscript"/>
                <w:lang w:eastAsia="pl-PL"/>
              </w:rPr>
              <w:t>6,5</w:t>
            </w:r>
          </w:p>
        </w:tc>
        <w:tc>
          <w:tcPr>
            <w:tcW w:w="142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V</w:t>
            </w:r>
            <w:r w:rsidRPr="005924B0">
              <w:rPr>
                <w:rFonts w:ascii="Times New Roman" w:eastAsiaTheme="minorEastAsia" w:hAnsi="Times New Roman" w:cs="Times New Roman"/>
                <w:sz w:val="24"/>
                <w:szCs w:val="24"/>
                <w:vertAlign w:val="subscript"/>
                <w:lang w:eastAsia="pl-PL"/>
              </w:rPr>
              <w:t>6,5</w:t>
            </w:r>
          </w:p>
        </w:tc>
        <w:tc>
          <w:tcPr>
            <w:tcW w:w="144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V</w:t>
            </w:r>
            <w:r w:rsidRPr="005924B0">
              <w:rPr>
                <w:rFonts w:ascii="Times New Roman" w:eastAsiaTheme="minorEastAsia" w:hAnsi="Times New Roman" w:cs="Times New Roman"/>
                <w:sz w:val="24"/>
                <w:szCs w:val="24"/>
                <w:vertAlign w:val="subscript"/>
                <w:lang w:eastAsia="pl-PL"/>
              </w:rPr>
              <w:t>6,5</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 Kruszywo niełamane drobne lub o ciągłym uziarnieniu do D≤</w:t>
      </w:r>
      <w:proofErr w:type="gramStart"/>
      <w:r w:rsidRPr="005924B0">
        <w:rPr>
          <w:rFonts w:ascii="Times New Roman" w:eastAsiaTheme="minorEastAsia" w:hAnsi="Times New Roman" w:cs="Times New Roman"/>
          <w:sz w:val="24"/>
          <w:szCs w:val="24"/>
          <w:lang w:eastAsia="pl-PL"/>
        </w:rPr>
        <w:t>8  do</w:t>
      </w:r>
      <w:proofErr w:type="gramEnd"/>
      <w:r w:rsidRPr="005924B0">
        <w:rPr>
          <w:rFonts w:ascii="Times New Roman" w:eastAsiaTheme="minorEastAsia" w:hAnsi="Times New Roman" w:cs="Times New Roman"/>
          <w:sz w:val="24"/>
          <w:szCs w:val="24"/>
          <w:lang w:eastAsia="pl-PL"/>
        </w:rPr>
        <w:t xml:space="preserve"> podbudowy  z betonu asfaltowego  powinno spełniać wymagania podane w tablicy  7 .</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7. Wymagane właściwości kruszywa niełamanego drobnego lub o ciągłym uziarnieniu do D≤</w:t>
      </w:r>
      <w:proofErr w:type="gramStart"/>
      <w:r w:rsidRPr="005924B0">
        <w:rPr>
          <w:rFonts w:ascii="Times New Roman" w:eastAsiaTheme="minorEastAsia" w:hAnsi="Times New Roman" w:cs="Times New Roman"/>
          <w:sz w:val="24"/>
          <w:szCs w:val="24"/>
          <w:lang w:eastAsia="pl-PL"/>
        </w:rPr>
        <w:t>8  do</w:t>
      </w:r>
      <w:proofErr w:type="gramEnd"/>
      <w:r w:rsidRPr="005924B0">
        <w:rPr>
          <w:rFonts w:ascii="Times New Roman" w:eastAsiaTheme="minorEastAsia" w:hAnsi="Times New Roman" w:cs="Times New Roman"/>
          <w:sz w:val="24"/>
          <w:szCs w:val="24"/>
          <w:lang w:eastAsia="pl-PL"/>
        </w:rPr>
        <w:t xml:space="preserve"> podbudowy  z betonu asfaltowego</w:t>
      </w:r>
    </w:p>
    <w:tbl>
      <w:tblPr>
        <w:tblW w:w="0" w:type="auto"/>
        <w:tblCellMar>
          <w:left w:w="0" w:type="dxa"/>
          <w:right w:w="0" w:type="dxa"/>
        </w:tblCellMar>
        <w:tblLook w:val="04A0" w:firstRow="1" w:lastRow="0" w:firstColumn="1" w:lastColumn="0" w:noHBand="0" w:noVBand="1"/>
      </w:tblPr>
      <w:tblGrid>
        <w:gridCol w:w="675"/>
        <w:gridCol w:w="3969"/>
        <w:gridCol w:w="1418"/>
        <w:gridCol w:w="1417"/>
        <w:gridCol w:w="1437"/>
      </w:tblGrid>
      <w:tr w:rsidR="005924B0" w:rsidRPr="005924B0" w:rsidTr="005924B0">
        <w:tc>
          <w:tcPr>
            <w:tcW w:w="675"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Lp.</w:t>
            </w:r>
          </w:p>
        </w:tc>
        <w:tc>
          <w:tcPr>
            <w:tcW w:w="3969"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kruszywa</w:t>
            </w:r>
          </w:p>
        </w:tc>
        <w:tc>
          <w:tcPr>
            <w:tcW w:w="4272"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Wymagania w zależności od kategorii ruchu</w:t>
            </w:r>
          </w:p>
        </w:tc>
      </w:tr>
      <w:tr w:rsidR="005924B0" w:rsidRPr="005924B0" w:rsidTr="005924B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KR1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KR2</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KR3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KR4</w:t>
            </w:r>
          </w:p>
        </w:tc>
        <w:tc>
          <w:tcPr>
            <w:tcW w:w="143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KR5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KR7</w:t>
            </w:r>
          </w:p>
        </w:tc>
      </w:tr>
      <w:tr w:rsidR="005924B0" w:rsidRPr="005924B0" w:rsidTr="005924B0">
        <w:tc>
          <w:tcPr>
            <w:tcW w:w="6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39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 według PN-EN 933-1[6], wymagana kategoria:</w:t>
            </w:r>
          </w:p>
        </w:tc>
        <w:tc>
          <w:tcPr>
            <w:tcW w:w="283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85 lub G</w:t>
            </w:r>
            <w:r w:rsidRPr="005924B0">
              <w:rPr>
                <w:rFonts w:ascii="Times New Roman" w:eastAsiaTheme="minorEastAsia" w:hAnsi="Times New Roman" w:cs="Times New Roman"/>
                <w:sz w:val="24"/>
                <w:szCs w:val="24"/>
                <w:vertAlign w:val="subscript"/>
                <w:lang w:eastAsia="pl-PL"/>
              </w:rPr>
              <w:t>A</w:t>
            </w:r>
            <w:r w:rsidRPr="005924B0">
              <w:rPr>
                <w:rFonts w:ascii="Times New Roman" w:eastAsiaTheme="minorEastAsia" w:hAnsi="Times New Roman" w:cs="Times New Roman"/>
                <w:sz w:val="24"/>
                <w:szCs w:val="24"/>
                <w:lang w:eastAsia="pl-PL"/>
              </w:rPr>
              <w:t>85</w:t>
            </w:r>
          </w:p>
        </w:tc>
        <w:tc>
          <w:tcPr>
            <w:tcW w:w="14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85</w:t>
            </w:r>
          </w:p>
        </w:tc>
      </w:tr>
      <w:tr w:rsidR="005924B0" w:rsidRPr="005924B0" w:rsidTr="005924B0">
        <w:tc>
          <w:tcPr>
            <w:tcW w:w="6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39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Tolerancja uziarnienia; odchylenie nie większe </w:t>
            </w:r>
            <w:proofErr w:type="gramStart"/>
            <w:r w:rsidRPr="005924B0">
              <w:rPr>
                <w:rFonts w:ascii="Times New Roman" w:eastAsiaTheme="minorEastAsia" w:hAnsi="Times New Roman" w:cs="Times New Roman"/>
                <w:sz w:val="24"/>
                <w:szCs w:val="24"/>
                <w:lang w:eastAsia="pl-PL"/>
              </w:rPr>
              <w:t>niż,</w:t>
            </w:r>
            <w:proofErr w:type="gramEnd"/>
            <w:r w:rsidRPr="005924B0">
              <w:rPr>
                <w:rFonts w:ascii="Times New Roman" w:eastAsiaTheme="minorEastAsia" w:hAnsi="Times New Roman" w:cs="Times New Roman"/>
                <w:sz w:val="24"/>
                <w:szCs w:val="24"/>
                <w:lang w:eastAsia="pl-PL"/>
              </w:rPr>
              <w:t xml:space="preserve"> według kategorii:</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TC</w:t>
            </w:r>
            <w:r w:rsidRPr="005924B0">
              <w:rPr>
                <w:rFonts w:ascii="Times New Roman" w:eastAsiaTheme="minorEastAsia" w:hAnsi="Times New Roman" w:cs="Times New Roman"/>
                <w:sz w:val="24"/>
                <w:szCs w:val="24"/>
                <w:lang w:eastAsia="pl-PL"/>
              </w:rPr>
              <w:t>NR</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TC</w:t>
            </w:r>
            <w:r w:rsidRPr="005924B0">
              <w:rPr>
                <w:rFonts w:ascii="Times New Roman" w:eastAsiaTheme="minorEastAsia" w:hAnsi="Times New Roman" w:cs="Times New Roman"/>
                <w:sz w:val="24"/>
                <w:szCs w:val="24"/>
                <w:lang w:eastAsia="pl-PL"/>
              </w:rPr>
              <w:t>20</w:t>
            </w:r>
          </w:p>
        </w:tc>
        <w:tc>
          <w:tcPr>
            <w:tcW w:w="143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TC</w:t>
            </w:r>
            <w:r w:rsidRPr="005924B0">
              <w:rPr>
                <w:rFonts w:ascii="Times New Roman" w:eastAsiaTheme="minorEastAsia" w:hAnsi="Times New Roman" w:cs="Times New Roman"/>
                <w:sz w:val="24"/>
                <w:szCs w:val="24"/>
                <w:lang w:eastAsia="pl-PL"/>
              </w:rPr>
              <w:t>20</w:t>
            </w:r>
          </w:p>
        </w:tc>
      </w:tr>
      <w:tr w:rsidR="005924B0" w:rsidRPr="005924B0" w:rsidTr="005924B0">
        <w:tc>
          <w:tcPr>
            <w:tcW w:w="6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39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pyłów według PN-EN 933-1 [6], kategoria nie wyższa niż:</w:t>
            </w:r>
          </w:p>
        </w:tc>
        <w:tc>
          <w:tcPr>
            <w:tcW w:w="4272"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vertAlign w:val="subscript"/>
                <w:lang w:eastAsia="pl-PL"/>
              </w:rPr>
              <w:t>3</w:t>
            </w:r>
          </w:p>
        </w:tc>
      </w:tr>
      <w:tr w:rsidR="005924B0" w:rsidRPr="005924B0" w:rsidTr="005924B0">
        <w:tc>
          <w:tcPr>
            <w:tcW w:w="6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39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Jakość pyłów według PN-EN 933-9 [11]; kategoria nie wyższa niż:</w:t>
            </w:r>
          </w:p>
        </w:tc>
        <w:tc>
          <w:tcPr>
            <w:tcW w:w="4272"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MB</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10</w:t>
            </w:r>
          </w:p>
        </w:tc>
      </w:tr>
      <w:tr w:rsidR="005924B0" w:rsidRPr="005924B0" w:rsidTr="005924B0">
        <w:tc>
          <w:tcPr>
            <w:tcW w:w="6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39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Kanciastość kruszywa drobnego według PN-EN 933-6 [10], rozdz. 8, kategoria nie niższa niż:</w:t>
            </w:r>
          </w:p>
        </w:tc>
        <w:tc>
          <w:tcPr>
            <w:tcW w:w="4272"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E</w:t>
            </w:r>
            <w:r w:rsidRPr="005924B0">
              <w:rPr>
                <w:rFonts w:ascii="Times New Roman" w:eastAsiaTheme="minorEastAsia" w:hAnsi="Times New Roman" w:cs="Times New Roman"/>
                <w:sz w:val="24"/>
                <w:szCs w:val="24"/>
                <w:vertAlign w:val="subscript"/>
                <w:lang w:eastAsia="pl-PL"/>
              </w:rPr>
              <w:t>cs</w:t>
            </w:r>
            <w:r w:rsidRPr="005924B0">
              <w:rPr>
                <w:rFonts w:ascii="Times New Roman" w:eastAsiaTheme="minorEastAsia" w:hAnsi="Times New Roman" w:cs="Times New Roman"/>
                <w:sz w:val="24"/>
                <w:szCs w:val="24"/>
                <w:lang w:eastAsia="pl-PL"/>
              </w:rPr>
              <w:t>Deklarowana</w:t>
            </w:r>
          </w:p>
        </w:tc>
      </w:tr>
      <w:tr w:rsidR="005924B0" w:rsidRPr="005924B0" w:rsidTr="005924B0">
        <w:tc>
          <w:tcPr>
            <w:tcW w:w="6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39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 ziaren według PN-EN 1097-6 [17], rozdz. 7, 8 lub 9:</w:t>
            </w:r>
          </w:p>
        </w:tc>
        <w:tc>
          <w:tcPr>
            <w:tcW w:w="4272"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p>
        </w:tc>
      </w:tr>
      <w:tr w:rsidR="005924B0" w:rsidRPr="005924B0" w:rsidTr="005924B0">
        <w:tc>
          <w:tcPr>
            <w:tcW w:w="6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c>
          <w:tcPr>
            <w:tcW w:w="39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Nasiąkliwość według PN-EN 1097-6 [17], rozdz. 7, 8 lub 9</w:t>
            </w:r>
          </w:p>
        </w:tc>
        <w:tc>
          <w:tcPr>
            <w:tcW w:w="4272"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p>
        </w:tc>
      </w:tr>
      <w:tr w:rsidR="005924B0" w:rsidRPr="005924B0" w:rsidTr="005924B0">
        <w:tc>
          <w:tcPr>
            <w:tcW w:w="6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8</w:t>
            </w:r>
          </w:p>
        </w:tc>
        <w:tc>
          <w:tcPr>
            <w:tcW w:w="39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Grube zanieczyszczenia lekkie, według PN-EN 1744-1 [23], p. 14.2, kategoria nie wyższa niż:</w:t>
            </w:r>
          </w:p>
        </w:tc>
        <w:tc>
          <w:tcPr>
            <w:tcW w:w="4272"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m</w:t>
            </w:r>
            <w:r w:rsidRPr="005924B0">
              <w:rPr>
                <w:rFonts w:ascii="Times New Roman" w:eastAsiaTheme="minorEastAsia" w:hAnsi="Times New Roman" w:cs="Times New Roman"/>
                <w:sz w:val="24"/>
                <w:szCs w:val="24"/>
                <w:vertAlign w:val="subscript"/>
                <w:lang w:eastAsia="pl-PL"/>
              </w:rPr>
              <w:t>LPC</w:t>
            </w:r>
            <w:r w:rsidRPr="005924B0">
              <w:rPr>
                <w:rFonts w:ascii="Times New Roman" w:eastAsiaTheme="minorEastAsia" w:hAnsi="Times New Roman" w:cs="Times New Roman"/>
                <w:sz w:val="24"/>
                <w:szCs w:val="24"/>
                <w:lang w:eastAsia="pl-PL"/>
              </w:rPr>
              <w:t>0,1</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 Kruszywo łamane drobne lub o ciągłym uziarnieniu do D≤</w:t>
      </w:r>
      <w:proofErr w:type="gramStart"/>
      <w:r w:rsidRPr="005924B0">
        <w:rPr>
          <w:rFonts w:ascii="Times New Roman" w:eastAsiaTheme="minorEastAsia" w:hAnsi="Times New Roman" w:cs="Times New Roman"/>
          <w:sz w:val="24"/>
          <w:szCs w:val="24"/>
          <w:lang w:eastAsia="pl-PL"/>
        </w:rPr>
        <w:t>8  do</w:t>
      </w:r>
      <w:proofErr w:type="gramEnd"/>
      <w:r w:rsidRPr="005924B0">
        <w:rPr>
          <w:rFonts w:ascii="Times New Roman" w:eastAsiaTheme="minorEastAsia" w:hAnsi="Times New Roman" w:cs="Times New Roman"/>
          <w:sz w:val="24"/>
          <w:szCs w:val="24"/>
          <w:lang w:eastAsia="pl-PL"/>
        </w:rPr>
        <w:t xml:space="preserve"> podbudowy  z betonu asfaltowego  powinno spełniać wymagania podane w tablicy  8 .</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8. Wymagane właściwości kruszywa łamanego drobnego lub o ciągłym uziarnieniu do D≤</w:t>
      </w:r>
      <w:proofErr w:type="gramStart"/>
      <w:r w:rsidRPr="005924B0">
        <w:rPr>
          <w:rFonts w:ascii="Times New Roman" w:eastAsiaTheme="minorEastAsia" w:hAnsi="Times New Roman" w:cs="Times New Roman"/>
          <w:sz w:val="24"/>
          <w:szCs w:val="24"/>
          <w:lang w:eastAsia="pl-PL"/>
        </w:rPr>
        <w:t>8  do</w:t>
      </w:r>
      <w:proofErr w:type="gramEnd"/>
      <w:r w:rsidRPr="005924B0">
        <w:rPr>
          <w:rFonts w:ascii="Times New Roman" w:eastAsiaTheme="minorEastAsia" w:hAnsi="Times New Roman" w:cs="Times New Roman"/>
          <w:sz w:val="24"/>
          <w:szCs w:val="24"/>
          <w:lang w:eastAsia="pl-PL"/>
        </w:rPr>
        <w:t xml:space="preserve"> podbudowy  z betonu asfaltowego</w:t>
      </w:r>
    </w:p>
    <w:tbl>
      <w:tblPr>
        <w:tblW w:w="8897" w:type="dxa"/>
        <w:tblCellMar>
          <w:left w:w="0" w:type="dxa"/>
          <w:right w:w="0" w:type="dxa"/>
        </w:tblCellMar>
        <w:tblLook w:val="04A0" w:firstRow="1" w:lastRow="0" w:firstColumn="1" w:lastColumn="0" w:noHBand="0" w:noVBand="1"/>
      </w:tblPr>
      <w:tblGrid>
        <w:gridCol w:w="663"/>
        <w:gridCol w:w="3981"/>
        <w:gridCol w:w="1418"/>
        <w:gridCol w:w="1417"/>
        <w:gridCol w:w="1418"/>
      </w:tblGrid>
      <w:tr w:rsidR="005924B0" w:rsidRPr="005924B0" w:rsidTr="005924B0">
        <w:tc>
          <w:tcPr>
            <w:tcW w:w="663" w:type="dxa"/>
            <w:vMerge w:val="restart"/>
            <w:tcBorders>
              <w:top w:val="single" w:sz="8" w:space="0" w:color="auto"/>
              <w:left w:val="single" w:sz="8" w:space="0" w:color="auto"/>
              <w:bottom w:val="single" w:sz="8" w:space="0" w:color="auto"/>
              <w:right w:val="nil"/>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Lp.</w:t>
            </w:r>
          </w:p>
        </w:tc>
        <w:tc>
          <w:tcPr>
            <w:tcW w:w="3981"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kruszywa</w:t>
            </w:r>
          </w:p>
        </w:tc>
        <w:tc>
          <w:tcPr>
            <w:tcW w:w="4253"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Wymagania w zależności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 kategorii ruchu</w:t>
            </w:r>
          </w:p>
        </w:tc>
      </w:tr>
      <w:tr w:rsidR="005924B0" w:rsidRPr="005924B0" w:rsidTr="005924B0">
        <w:tc>
          <w:tcPr>
            <w:tcW w:w="0" w:type="auto"/>
            <w:vMerge/>
            <w:tcBorders>
              <w:top w:val="single" w:sz="8" w:space="0" w:color="auto"/>
              <w:left w:val="single" w:sz="8" w:space="0" w:color="auto"/>
              <w:bottom w:val="single" w:sz="8" w:space="0" w:color="auto"/>
              <w:right w:val="nil"/>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KR1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KR2</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KR3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KR4</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KR5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KR7</w:t>
            </w:r>
          </w:p>
        </w:tc>
      </w:tr>
      <w:tr w:rsidR="005924B0" w:rsidRPr="005924B0" w:rsidTr="005924B0">
        <w:tc>
          <w:tcPr>
            <w:tcW w:w="6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398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 według PN-EN 933-1[6], wymagana kategoria:</w:t>
            </w:r>
          </w:p>
        </w:tc>
        <w:tc>
          <w:tcPr>
            <w:tcW w:w="4253"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85 lub G</w:t>
            </w:r>
            <w:r w:rsidRPr="005924B0">
              <w:rPr>
                <w:rFonts w:ascii="Times New Roman" w:eastAsiaTheme="minorEastAsia" w:hAnsi="Times New Roman" w:cs="Times New Roman"/>
                <w:sz w:val="24"/>
                <w:szCs w:val="24"/>
                <w:vertAlign w:val="subscript"/>
                <w:lang w:eastAsia="pl-PL"/>
              </w:rPr>
              <w:t>A</w:t>
            </w:r>
            <w:r w:rsidRPr="005924B0">
              <w:rPr>
                <w:rFonts w:ascii="Times New Roman" w:eastAsiaTheme="minorEastAsia" w:hAnsi="Times New Roman" w:cs="Times New Roman"/>
                <w:sz w:val="24"/>
                <w:szCs w:val="24"/>
                <w:lang w:eastAsia="pl-PL"/>
              </w:rPr>
              <w:t>85</w:t>
            </w:r>
          </w:p>
        </w:tc>
      </w:tr>
      <w:tr w:rsidR="005924B0" w:rsidRPr="005924B0" w:rsidTr="005924B0">
        <w:tc>
          <w:tcPr>
            <w:tcW w:w="6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398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Tolerancja uziarnienia; odchylenie nie większe niż według kategorii:</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TC</w:t>
            </w:r>
            <w:r w:rsidRPr="005924B0">
              <w:rPr>
                <w:rFonts w:ascii="Times New Roman" w:eastAsiaTheme="minorEastAsia" w:hAnsi="Times New Roman" w:cs="Times New Roman"/>
                <w:sz w:val="24"/>
                <w:szCs w:val="24"/>
                <w:lang w:eastAsia="pl-PL"/>
              </w:rPr>
              <w:t>NR</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TC</w:t>
            </w:r>
            <w:r w:rsidRPr="005924B0">
              <w:rPr>
                <w:rFonts w:ascii="Times New Roman" w:eastAsiaTheme="minorEastAsia" w:hAnsi="Times New Roman" w:cs="Times New Roman"/>
                <w:sz w:val="24"/>
                <w:szCs w:val="24"/>
                <w:lang w:eastAsia="pl-PL"/>
              </w:rPr>
              <w:t>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TC</w:t>
            </w:r>
            <w:r w:rsidRPr="005924B0">
              <w:rPr>
                <w:rFonts w:ascii="Times New Roman" w:eastAsiaTheme="minorEastAsia" w:hAnsi="Times New Roman" w:cs="Times New Roman"/>
                <w:sz w:val="24"/>
                <w:szCs w:val="24"/>
                <w:lang w:eastAsia="pl-PL"/>
              </w:rPr>
              <w:t>20</w:t>
            </w:r>
          </w:p>
        </w:tc>
      </w:tr>
      <w:tr w:rsidR="005924B0" w:rsidRPr="005924B0" w:rsidTr="005924B0">
        <w:tc>
          <w:tcPr>
            <w:tcW w:w="6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398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pyłów według PN-EN 933-1 [6], kategoria nie wyższa niż:</w:t>
            </w:r>
          </w:p>
        </w:tc>
        <w:tc>
          <w:tcPr>
            <w:tcW w:w="4253"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vertAlign w:val="subscript"/>
                <w:lang w:eastAsia="pl-PL"/>
              </w:rPr>
              <w:t>16</w:t>
            </w:r>
          </w:p>
        </w:tc>
      </w:tr>
      <w:tr w:rsidR="005924B0" w:rsidRPr="005924B0" w:rsidTr="005924B0">
        <w:tc>
          <w:tcPr>
            <w:tcW w:w="6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398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Jakość pyłów według PN-EN 933-9 [11]; kategoria nie wyższa niż:</w:t>
            </w:r>
          </w:p>
        </w:tc>
        <w:tc>
          <w:tcPr>
            <w:tcW w:w="4253"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MB</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10</w:t>
            </w:r>
          </w:p>
        </w:tc>
      </w:tr>
      <w:tr w:rsidR="005924B0" w:rsidRPr="005924B0" w:rsidTr="005924B0">
        <w:tc>
          <w:tcPr>
            <w:tcW w:w="6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398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Kanciastość kruszywa drobnego według PN-EN 933-6 [10], rozdz. 8, kategoria nie niższa niż:</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E</w:t>
            </w:r>
            <w:r w:rsidRPr="005924B0">
              <w:rPr>
                <w:rFonts w:ascii="Times New Roman" w:eastAsiaTheme="minorEastAsia" w:hAnsi="Times New Roman" w:cs="Times New Roman"/>
                <w:sz w:val="24"/>
                <w:szCs w:val="24"/>
                <w:vertAlign w:val="subscript"/>
                <w:lang w:eastAsia="pl-PL"/>
              </w:rPr>
              <w:t>cs</w:t>
            </w:r>
            <w:r w:rsidRPr="005924B0">
              <w:rPr>
                <w:rFonts w:ascii="Times New Roman" w:eastAsiaTheme="minorEastAsia" w:hAnsi="Times New Roman" w:cs="Times New Roman"/>
                <w:sz w:val="24"/>
                <w:szCs w:val="24"/>
                <w:lang w:eastAsia="pl-PL"/>
              </w:rPr>
              <w:t>Deklaro-wana</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E</w:t>
            </w:r>
            <w:r w:rsidRPr="005924B0">
              <w:rPr>
                <w:rFonts w:ascii="Times New Roman" w:eastAsiaTheme="minorEastAsia" w:hAnsi="Times New Roman" w:cs="Times New Roman"/>
                <w:i/>
                <w:iCs/>
                <w:sz w:val="24"/>
                <w:szCs w:val="24"/>
                <w:vertAlign w:val="subscript"/>
                <w:lang w:eastAsia="pl-PL"/>
              </w:rPr>
              <w:t>CS</w:t>
            </w:r>
            <w:r w:rsidRPr="005924B0">
              <w:rPr>
                <w:rFonts w:ascii="Times New Roman" w:eastAsiaTheme="minorEastAsia" w:hAnsi="Times New Roman" w:cs="Times New Roman"/>
                <w:sz w:val="24"/>
                <w:szCs w:val="24"/>
                <w:lang w:eastAsia="pl-PL"/>
              </w:rPr>
              <w:t>30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E</w:t>
            </w:r>
            <w:r w:rsidRPr="005924B0">
              <w:rPr>
                <w:rFonts w:ascii="Times New Roman" w:eastAsiaTheme="minorEastAsia" w:hAnsi="Times New Roman" w:cs="Times New Roman"/>
                <w:i/>
                <w:iCs/>
                <w:sz w:val="24"/>
                <w:szCs w:val="24"/>
                <w:vertAlign w:val="subscript"/>
                <w:lang w:eastAsia="pl-PL"/>
              </w:rPr>
              <w:t>CS</w:t>
            </w:r>
            <w:r w:rsidRPr="005924B0">
              <w:rPr>
                <w:rFonts w:ascii="Times New Roman" w:eastAsiaTheme="minorEastAsia" w:hAnsi="Times New Roman" w:cs="Times New Roman"/>
                <w:sz w:val="24"/>
                <w:szCs w:val="24"/>
                <w:lang w:eastAsia="pl-PL"/>
              </w:rPr>
              <w:t>30</w:t>
            </w:r>
          </w:p>
        </w:tc>
      </w:tr>
      <w:tr w:rsidR="005924B0" w:rsidRPr="005924B0" w:rsidTr="005924B0">
        <w:tc>
          <w:tcPr>
            <w:tcW w:w="6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398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 ziaren według PN-EN 1097-6 [17], rozdz. 7, 8 lub 9:</w:t>
            </w:r>
          </w:p>
        </w:tc>
        <w:tc>
          <w:tcPr>
            <w:tcW w:w="4253"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p>
        </w:tc>
      </w:tr>
      <w:tr w:rsidR="005924B0" w:rsidRPr="005924B0" w:rsidTr="005924B0">
        <w:tc>
          <w:tcPr>
            <w:tcW w:w="6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c>
          <w:tcPr>
            <w:tcW w:w="398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Nasiąkliwość według PN-EN 1097-6 [17], rozdz. 7, 8 lub 9</w:t>
            </w:r>
          </w:p>
        </w:tc>
        <w:tc>
          <w:tcPr>
            <w:tcW w:w="4253"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p>
        </w:tc>
      </w:tr>
      <w:tr w:rsidR="005924B0" w:rsidRPr="005924B0" w:rsidTr="005924B0">
        <w:tc>
          <w:tcPr>
            <w:tcW w:w="6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398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Grube zanieczyszczenia lekkie, według PN-EN 1744-1 [23], p. 14.2, kategoria nie wyższa niż:</w:t>
            </w:r>
          </w:p>
        </w:tc>
        <w:tc>
          <w:tcPr>
            <w:tcW w:w="4253"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m</w:t>
            </w:r>
            <w:r w:rsidRPr="005924B0">
              <w:rPr>
                <w:rFonts w:ascii="Times New Roman" w:eastAsiaTheme="minorEastAsia" w:hAnsi="Times New Roman" w:cs="Times New Roman"/>
                <w:sz w:val="24"/>
                <w:szCs w:val="24"/>
                <w:vertAlign w:val="subscript"/>
                <w:lang w:eastAsia="pl-PL"/>
              </w:rPr>
              <w:t>LPC</w:t>
            </w:r>
            <w:r w:rsidRPr="005924B0">
              <w:rPr>
                <w:rFonts w:ascii="Times New Roman" w:eastAsiaTheme="minorEastAsia" w:hAnsi="Times New Roman" w:cs="Times New Roman"/>
                <w:sz w:val="24"/>
                <w:szCs w:val="24"/>
                <w:lang w:eastAsia="pl-PL"/>
              </w:rPr>
              <w:t>0,1</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 Kruszywo o ciągłym </w:t>
      </w:r>
      <w:proofErr w:type="gramStart"/>
      <w:r w:rsidRPr="005924B0">
        <w:rPr>
          <w:rFonts w:ascii="Times New Roman" w:eastAsiaTheme="minorEastAsia" w:hAnsi="Times New Roman" w:cs="Times New Roman"/>
          <w:sz w:val="24"/>
          <w:szCs w:val="24"/>
          <w:lang w:eastAsia="pl-PL"/>
        </w:rPr>
        <w:t>uziarnieniu  do</w:t>
      </w:r>
      <w:proofErr w:type="gramEnd"/>
      <w:r w:rsidRPr="005924B0">
        <w:rPr>
          <w:rFonts w:ascii="Times New Roman" w:eastAsiaTheme="minorEastAsia" w:hAnsi="Times New Roman" w:cs="Times New Roman"/>
          <w:sz w:val="24"/>
          <w:szCs w:val="24"/>
          <w:lang w:eastAsia="pl-PL"/>
        </w:rPr>
        <w:t xml:space="preserve"> podbudowy  z betonu asfaltowego  powinno spełniać wymagania podane w tablicy  9.</w:t>
      </w:r>
    </w:p>
    <w:p w:rsidR="005924B0" w:rsidRPr="005924B0" w:rsidRDefault="005924B0" w:rsidP="005924B0">
      <w:pPr>
        <w:overflowPunct w:val="0"/>
        <w:autoSpaceDE w:val="0"/>
        <w:autoSpaceDN w:val="0"/>
        <w:spacing w:before="120" w:after="120" w:line="240" w:lineRule="auto"/>
        <w:ind w:left="1202" w:hanging="1202"/>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9. Wymagane właściwości kruszywa o ciągłym uziarnieniu do </w:t>
      </w:r>
      <w:proofErr w:type="gramStart"/>
      <w:r w:rsidRPr="005924B0">
        <w:rPr>
          <w:rFonts w:ascii="Times New Roman" w:eastAsiaTheme="minorEastAsia" w:hAnsi="Times New Roman" w:cs="Times New Roman"/>
          <w:sz w:val="24"/>
          <w:szCs w:val="24"/>
          <w:lang w:eastAsia="pl-PL"/>
        </w:rPr>
        <w:t>podbudowy  z</w:t>
      </w:r>
      <w:proofErr w:type="gramEnd"/>
      <w:r w:rsidRPr="005924B0">
        <w:rPr>
          <w:rFonts w:ascii="Times New Roman" w:eastAsiaTheme="minorEastAsia" w:hAnsi="Times New Roman" w:cs="Times New Roman"/>
          <w:sz w:val="24"/>
          <w:szCs w:val="24"/>
          <w:lang w:eastAsia="pl-PL"/>
        </w:rPr>
        <w:t xml:space="preserve"> betonu asfaltowego</w:t>
      </w:r>
    </w:p>
    <w:tbl>
      <w:tblPr>
        <w:tblW w:w="0" w:type="auto"/>
        <w:tblInd w:w="108" w:type="dxa"/>
        <w:tblCellMar>
          <w:left w:w="0" w:type="dxa"/>
          <w:right w:w="0" w:type="dxa"/>
        </w:tblCellMar>
        <w:tblLook w:val="04A0" w:firstRow="1" w:lastRow="0" w:firstColumn="1" w:lastColumn="0" w:noHBand="0" w:noVBand="1"/>
      </w:tblPr>
      <w:tblGrid>
        <w:gridCol w:w="570"/>
        <w:gridCol w:w="216"/>
        <w:gridCol w:w="3753"/>
        <w:gridCol w:w="1423"/>
        <w:gridCol w:w="1415"/>
        <w:gridCol w:w="1567"/>
      </w:tblGrid>
      <w:tr w:rsidR="005924B0" w:rsidRPr="005924B0" w:rsidTr="005924B0">
        <w:tc>
          <w:tcPr>
            <w:tcW w:w="570"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Lp.</w:t>
            </w:r>
          </w:p>
        </w:tc>
        <w:tc>
          <w:tcPr>
            <w:tcW w:w="3975" w:type="dxa"/>
            <w:gridSpan w:val="2"/>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kruszywa</w:t>
            </w:r>
          </w:p>
        </w:tc>
        <w:tc>
          <w:tcPr>
            <w:tcW w:w="4411"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Wymagania w zależności od kategorii ruchu</w:t>
            </w:r>
          </w:p>
        </w:tc>
      </w:tr>
      <w:tr w:rsidR="005924B0" w:rsidRPr="005924B0" w:rsidTr="005924B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gridSpan w:val="2"/>
            <w:vMerge/>
            <w:tcBorders>
              <w:top w:val="single" w:sz="8"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KR1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KR2</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KR3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KR4</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KR5 </w:t>
            </w: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lang w:eastAsia="pl-PL"/>
              </w:rPr>
              <w:t xml:space="preserve"> KR7</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 według PN-EN 933-1[6]; kategoria nie niższa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A</w:t>
            </w:r>
            <w:r w:rsidRPr="005924B0">
              <w:rPr>
                <w:rFonts w:ascii="Times New Roman" w:eastAsiaTheme="minorEastAsia" w:hAnsi="Times New Roman" w:cs="Times New Roman"/>
                <w:sz w:val="24"/>
                <w:szCs w:val="24"/>
                <w:lang w:eastAsia="pl-PL"/>
              </w:rPr>
              <w:t>85</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A</w:t>
            </w:r>
            <w:r w:rsidRPr="005924B0">
              <w:rPr>
                <w:rFonts w:ascii="Times New Roman" w:eastAsiaTheme="minorEastAsia" w:hAnsi="Times New Roman" w:cs="Times New Roman"/>
                <w:sz w:val="24"/>
                <w:szCs w:val="24"/>
                <w:lang w:eastAsia="pl-PL"/>
              </w:rPr>
              <w:t>85</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24"/>
                <w:szCs w:val="24"/>
                <w:vertAlign w:val="subscript"/>
                <w:lang w:eastAsia="pl-PL"/>
              </w:rPr>
              <w:t>A</w:t>
            </w:r>
            <w:r w:rsidRPr="005924B0">
              <w:rPr>
                <w:rFonts w:ascii="Times New Roman" w:eastAsiaTheme="minorEastAsia" w:hAnsi="Times New Roman" w:cs="Times New Roman"/>
                <w:sz w:val="24"/>
                <w:szCs w:val="24"/>
                <w:lang w:eastAsia="pl-PL"/>
              </w:rPr>
              <w:t>85</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pyłów według PN-EN 933-1 [6]; kategoria nie wyższa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sz w:val="24"/>
                <w:szCs w:val="24"/>
                <w:vertAlign w:val="subscript"/>
                <w:lang w:eastAsia="pl-PL"/>
              </w:rPr>
              <w:t>16</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sz w:val="24"/>
                <w:szCs w:val="24"/>
                <w:vertAlign w:val="subscript"/>
                <w:lang w:eastAsia="pl-PL"/>
              </w:rPr>
              <w:t>16</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sz w:val="24"/>
                <w:szCs w:val="24"/>
                <w:vertAlign w:val="subscript"/>
                <w:lang w:eastAsia="pl-PL"/>
              </w:rPr>
              <w:t>16</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pyłów według PN-EN 933-9 [11]; kategoria nie wyższa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MB</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10</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MB</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10</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MB</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10</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Kształt kruszywa według PN-EN 933-3[7] lub według PN-EN 933-4 [8]; kategoria nie wyższa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FI</w:t>
            </w:r>
            <w:r w:rsidRPr="005924B0">
              <w:rPr>
                <w:rFonts w:ascii="Times New Roman" w:eastAsiaTheme="minorEastAsia" w:hAnsi="Times New Roman" w:cs="Times New Roman"/>
                <w:i/>
                <w:iCs/>
                <w:sz w:val="24"/>
                <w:szCs w:val="24"/>
                <w:vertAlign w:val="subscript"/>
                <w:lang w:eastAsia="pl-PL"/>
              </w:rPr>
              <w:t>50</w:t>
            </w:r>
            <w:r w:rsidRPr="005924B0">
              <w:rPr>
                <w:rFonts w:ascii="Times New Roman" w:eastAsiaTheme="minorEastAsia" w:hAnsi="Times New Roman" w:cs="Times New Roman"/>
                <w:sz w:val="24"/>
                <w:szCs w:val="24"/>
                <w:lang w:eastAsia="pl-PL"/>
              </w:rPr>
              <w:t xml:space="preserve"> lub </w:t>
            </w:r>
            <w:r w:rsidRPr="005924B0">
              <w:rPr>
                <w:rFonts w:ascii="Times New Roman" w:eastAsiaTheme="minorEastAsia" w:hAnsi="Times New Roman" w:cs="Times New Roman"/>
                <w:i/>
                <w:iCs/>
                <w:sz w:val="24"/>
                <w:szCs w:val="24"/>
                <w:lang w:eastAsia="pl-PL"/>
              </w:rPr>
              <w:t>SI</w:t>
            </w:r>
            <w:r w:rsidRPr="005924B0">
              <w:rPr>
                <w:rFonts w:ascii="Times New Roman" w:eastAsiaTheme="minorEastAsia" w:hAnsi="Times New Roman" w:cs="Times New Roman"/>
                <w:i/>
                <w:iCs/>
                <w:sz w:val="24"/>
                <w:szCs w:val="24"/>
                <w:vertAlign w:val="subscript"/>
                <w:lang w:eastAsia="pl-PL"/>
              </w:rPr>
              <w:t>50</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FI</w:t>
            </w:r>
            <w:r w:rsidRPr="005924B0">
              <w:rPr>
                <w:rFonts w:ascii="Times New Roman" w:eastAsiaTheme="minorEastAsia" w:hAnsi="Times New Roman" w:cs="Times New Roman"/>
                <w:i/>
                <w:iCs/>
                <w:sz w:val="24"/>
                <w:szCs w:val="24"/>
                <w:vertAlign w:val="subscript"/>
                <w:lang w:eastAsia="pl-PL"/>
              </w:rPr>
              <w:t>30</w:t>
            </w:r>
            <w:r w:rsidRPr="005924B0">
              <w:rPr>
                <w:rFonts w:ascii="Times New Roman" w:eastAsiaTheme="minorEastAsia" w:hAnsi="Times New Roman" w:cs="Times New Roman"/>
                <w:sz w:val="24"/>
                <w:szCs w:val="24"/>
                <w:lang w:eastAsia="pl-PL"/>
              </w:rPr>
              <w:t xml:space="preserve"> lub </w:t>
            </w:r>
            <w:r w:rsidRPr="005924B0">
              <w:rPr>
                <w:rFonts w:ascii="Times New Roman" w:eastAsiaTheme="minorEastAsia" w:hAnsi="Times New Roman" w:cs="Times New Roman"/>
                <w:i/>
                <w:iCs/>
                <w:sz w:val="24"/>
                <w:szCs w:val="24"/>
                <w:lang w:eastAsia="pl-PL"/>
              </w:rPr>
              <w:t>SI</w:t>
            </w:r>
            <w:r w:rsidRPr="005924B0">
              <w:rPr>
                <w:rFonts w:ascii="Times New Roman" w:eastAsiaTheme="minorEastAsia" w:hAnsi="Times New Roman" w:cs="Times New Roman"/>
                <w:i/>
                <w:iCs/>
                <w:sz w:val="24"/>
                <w:szCs w:val="24"/>
                <w:vertAlign w:val="subscript"/>
                <w:lang w:eastAsia="pl-PL"/>
              </w:rPr>
              <w:t>30</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FI</w:t>
            </w:r>
            <w:r w:rsidRPr="005924B0">
              <w:rPr>
                <w:rFonts w:ascii="Times New Roman" w:eastAsiaTheme="minorEastAsia" w:hAnsi="Times New Roman" w:cs="Times New Roman"/>
                <w:i/>
                <w:iCs/>
                <w:sz w:val="24"/>
                <w:szCs w:val="24"/>
                <w:vertAlign w:val="subscript"/>
                <w:lang w:eastAsia="pl-PL"/>
              </w:rPr>
              <w:t>30</w:t>
            </w:r>
            <w:r w:rsidRPr="005924B0">
              <w:rPr>
                <w:rFonts w:ascii="Times New Roman" w:eastAsiaTheme="minorEastAsia" w:hAnsi="Times New Roman" w:cs="Times New Roman"/>
                <w:sz w:val="24"/>
                <w:szCs w:val="24"/>
                <w:lang w:eastAsia="pl-PL"/>
              </w:rPr>
              <w:t xml:space="preserve"> lub </w:t>
            </w:r>
            <w:r w:rsidRPr="005924B0">
              <w:rPr>
                <w:rFonts w:ascii="Times New Roman" w:eastAsiaTheme="minorEastAsia" w:hAnsi="Times New Roman" w:cs="Times New Roman"/>
                <w:i/>
                <w:iCs/>
                <w:sz w:val="24"/>
                <w:szCs w:val="24"/>
                <w:lang w:eastAsia="pl-PL"/>
              </w:rPr>
              <w:t>SI</w:t>
            </w:r>
            <w:r w:rsidRPr="005924B0">
              <w:rPr>
                <w:rFonts w:ascii="Times New Roman" w:eastAsiaTheme="minorEastAsia" w:hAnsi="Times New Roman" w:cs="Times New Roman"/>
                <w:i/>
                <w:iCs/>
                <w:sz w:val="24"/>
                <w:szCs w:val="24"/>
                <w:vertAlign w:val="subscript"/>
                <w:lang w:eastAsia="pl-PL"/>
              </w:rPr>
              <w:t>30</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5</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Procentowa zawartość ziaren o powierzchni przekruszonej i łamanej w kruszywie grubym według PN-EN 933-5 [9]; kategoria nie niższa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r w:rsidRPr="005924B0">
              <w:rPr>
                <w:rFonts w:ascii="Times New Roman" w:eastAsiaTheme="minorEastAsia" w:hAnsi="Times New Roman" w:cs="Times New Roman"/>
                <w:sz w:val="24"/>
                <w:szCs w:val="24"/>
                <w:vertAlign w:val="subscript"/>
                <w:lang w:eastAsia="pl-PL"/>
              </w:rPr>
              <w:t>Deklarowana</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C</w:t>
            </w:r>
            <w:r w:rsidRPr="005924B0">
              <w:rPr>
                <w:rFonts w:ascii="Times New Roman" w:eastAsiaTheme="minorEastAsia" w:hAnsi="Times New Roman" w:cs="Times New Roman"/>
                <w:i/>
                <w:iCs/>
                <w:sz w:val="24"/>
                <w:szCs w:val="24"/>
                <w:vertAlign w:val="subscript"/>
                <w:lang w:eastAsia="pl-PL"/>
              </w:rPr>
              <w:t>50</w:t>
            </w:r>
            <w:r w:rsidRPr="005924B0">
              <w:rPr>
                <w:rFonts w:ascii="Times New Roman" w:eastAsiaTheme="minorEastAsia" w:hAnsi="Times New Roman" w:cs="Times New Roman"/>
                <w:sz w:val="24"/>
                <w:szCs w:val="24"/>
                <w:vertAlign w:val="subscript"/>
                <w:lang w:eastAsia="pl-PL"/>
              </w:rPr>
              <w:t>/30</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C</w:t>
            </w:r>
            <w:r w:rsidRPr="005924B0">
              <w:rPr>
                <w:rFonts w:ascii="Times New Roman" w:eastAsiaTheme="minorEastAsia" w:hAnsi="Times New Roman" w:cs="Times New Roman"/>
                <w:i/>
                <w:iCs/>
                <w:sz w:val="24"/>
                <w:szCs w:val="24"/>
                <w:vertAlign w:val="subscript"/>
                <w:lang w:eastAsia="pl-PL"/>
              </w:rPr>
              <w:t>50</w:t>
            </w:r>
            <w:r w:rsidRPr="005924B0">
              <w:rPr>
                <w:rFonts w:ascii="Times New Roman" w:eastAsiaTheme="minorEastAsia" w:hAnsi="Times New Roman" w:cs="Times New Roman"/>
                <w:sz w:val="24"/>
                <w:szCs w:val="24"/>
                <w:vertAlign w:val="subscript"/>
                <w:lang w:eastAsia="pl-PL"/>
              </w:rPr>
              <w:t>/30</w:t>
            </w:r>
          </w:p>
        </w:tc>
      </w:tr>
      <w:tr w:rsidR="005924B0" w:rsidRPr="005924B0" w:rsidTr="005924B0">
        <w:trPr>
          <w:trHeight w:val="1501"/>
        </w:trPr>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Odporność kruszywa na rozdrabnianie według normy PN-EN 1097-2 [13], badana na kruszywie o wymiarze 10/14, rozdział 5, kategoria nie wyższa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LA</w:t>
            </w:r>
            <w:r w:rsidRPr="005924B0">
              <w:rPr>
                <w:rFonts w:ascii="Times New Roman" w:eastAsiaTheme="minorEastAsia" w:hAnsi="Times New Roman" w:cs="Times New Roman"/>
                <w:i/>
                <w:iCs/>
                <w:sz w:val="24"/>
                <w:szCs w:val="24"/>
                <w:vertAlign w:val="subscript"/>
                <w:lang w:eastAsia="pl-PL"/>
              </w:rPr>
              <w:t>50</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LA</w:t>
            </w:r>
            <w:r w:rsidRPr="005924B0">
              <w:rPr>
                <w:rFonts w:ascii="Times New Roman" w:eastAsiaTheme="minorEastAsia" w:hAnsi="Times New Roman" w:cs="Times New Roman"/>
                <w:i/>
                <w:iCs/>
                <w:sz w:val="24"/>
                <w:szCs w:val="24"/>
                <w:vertAlign w:val="subscript"/>
                <w:lang w:eastAsia="pl-PL"/>
              </w:rPr>
              <w:t>40</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LA</w:t>
            </w:r>
            <w:r w:rsidRPr="005924B0">
              <w:rPr>
                <w:rFonts w:ascii="Times New Roman" w:eastAsiaTheme="minorEastAsia" w:hAnsi="Times New Roman" w:cs="Times New Roman"/>
                <w:sz w:val="24"/>
                <w:szCs w:val="24"/>
                <w:vertAlign w:val="subscript"/>
                <w:lang w:eastAsia="pl-PL"/>
              </w:rPr>
              <w:t>40</w:t>
            </w:r>
          </w:p>
        </w:tc>
      </w:tr>
      <w:tr w:rsidR="005924B0" w:rsidRPr="005924B0" w:rsidTr="005924B0">
        <w:trPr>
          <w:trHeight w:val="696"/>
        </w:trPr>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 ziaren według PN-EN 1097-6 [17], rozdział 7, 8 lub 9:</w:t>
            </w:r>
          </w:p>
        </w:tc>
        <w:tc>
          <w:tcPr>
            <w:tcW w:w="4411"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r w:rsidRPr="005924B0">
              <w:rPr>
                <w:rFonts w:ascii="Times New Roman" w:eastAsiaTheme="minorEastAsia" w:hAnsi="Times New Roman" w:cs="Times New Roman"/>
                <w:b/>
                <w:bCs/>
                <w:sz w:val="24"/>
                <w:szCs w:val="24"/>
                <w:lang w:eastAsia="pl-PL"/>
              </w:rPr>
              <w:t> </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Nasiąkliwość według PN-EN 1097-6 [17], rozdział 7, 8 lub 9:</w:t>
            </w:r>
          </w:p>
        </w:tc>
        <w:tc>
          <w:tcPr>
            <w:tcW w:w="4411"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r w:rsidRPr="005924B0">
              <w:rPr>
                <w:rFonts w:ascii="Times New Roman" w:eastAsiaTheme="minorEastAsia" w:hAnsi="Times New Roman" w:cs="Times New Roman"/>
                <w:b/>
                <w:bCs/>
                <w:sz w:val="24"/>
                <w:szCs w:val="24"/>
                <w:lang w:eastAsia="pl-PL"/>
              </w:rPr>
              <w:t> </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 nasypowa wg PN-EN 1097-3 [14]</w:t>
            </w:r>
          </w:p>
        </w:tc>
        <w:tc>
          <w:tcPr>
            <w:tcW w:w="4411"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r w:rsidRPr="005924B0">
              <w:rPr>
                <w:rFonts w:ascii="Times New Roman" w:eastAsiaTheme="minorEastAsia" w:hAnsi="Times New Roman" w:cs="Times New Roman"/>
                <w:b/>
                <w:bCs/>
                <w:sz w:val="24"/>
                <w:szCs w:val="24"/>
                <w:lang w:eastAsia="pl-PL"/>
              </w:rPr>
              <w:t> </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Mrozoodporność według PN-EN 1367-1 [19], badana na kruszywie 8/11, 11/16 lub 8/16; kategoria nie wyższa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i/>
                <w:iCs/>
                <w:sz w:val="24"/>
                <w:szCs w:val="24"/>
                <w:vertAlign w:val="subscript"/>
                <w:lang w:eastAsia="pl-PL"/>
              </w:rPr>
              <w:t>4</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i/>
                <w:iCs/>
                <w:sz w:val="24"/>
                <w:szCs w:val="24"/>
                <w:vertAlign w:val="subscript"/>
                <w:lang w:eastAsia="pl-PL"/>
              </w:rPr>
              <w:t>4</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F</w:t>
            </w:r>
            <w:r w:rsidRPr="005924B0">
              <w:rPr>
                <w:rFonts w:ascii="Times New Roman" w:eastAsiaTheme="minorEastAsia" w:hAnsi="Times New Roman" w:cs="Times New Roman"/>
                <w:i/>
                <w:iCs/>
                <w:sz w:val="24"/>
                <w:szCs w:val="24"/>
                <w:vertAlign w:val="subscript"/>
                <w:lang w:eastAsia="pl-PL"/>
              </w:rPr>
              <w:t>4</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11</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„Zgorzel słoneczna” bazaltu według </w:t>
            </w:r>
            <w:r w:rsidRPr="005924B0">
              <w:rPr>
                <w:rFonts w:ascii="Times New Roman" w:eastAsiaTheme="minorEastAsia" w:hAnsi="Times New Roman" w:cs="Times New Roman"/>
                <w:sz w:val="24"/>
                <w:szCs w:val="24"/>
                <w:lang w:eastAsia="pl-PL"/>
              </w:rPr>
              <w:br/>
              <w:t>PN-EN 1367-3 [20]; wymagana kategoria:</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SB</w:t>
            </w:r>
            <w:r w:rsidRPr="005924B0">
              <w:rPr>
                <w:rFonts w:ascii="Times New Roman" w:eastAsiaTheme="minorEastAsia" w:hAnsi="Times New Roman" w:cs="Times New Roman"/>
                <w:sz w:val="24"/>
                <w:szCs w:val="24"/>
                <w:vertAlign w:val="subscript"/>
                <w:lang w:eastAsia="pl-PL"/>
              </w:rPr>
              <w:t>LA</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SB</w:t>
            </w:r>
            <w:r w:rsidRPr="005924B0">
              <w:rPr>
                <w:rFonts w:ascii="Times New Roman" w:eastAsiaTheme="minorEastAsia" w:hAnsi="Times New Roman" w:cs="Times New Roman"/>
                <w:sz w:val="24"/>
                <w:szCs w:val="24"/>
                <w:vertAlign w:val="subscript"/>
                <w:lang w:eastAsia="pl-PL"/>
              </w:rPr>
              <w:t>LA</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SB</w:t>
            </w:r>
            <w:r w:rsidRPr="005924B0">
              <w:rPr>
                <w:rFonts w:ascii="Times New Roman" w:eastAsiaTheme="minorEastAsia" w:hAnsi="Times New Roman" w:cs="Times New Roman"/>
                <w:sz w:val="24"/>
                <w:szCs w:val="24"/>
                <w:vertAlign w:val="subscript"/>
                <w:lang w:eastAsia="pl-PL"/>
              </w:rPr>
              <w:t>LA</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Kanciastość kruszywa drobnego lub kruszywa 0/2 wydzielonego z kruszywa o drobnym uziarnieniu wg PN-EN 933-6 [10], rozdz. 8, kategoria nie niższa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w:t>
            </w:r>
            <w:r w:rsidRPr="005924B0">
              <w:rPr>
                <w:rFonts w:ascii="Times New Roman" w:eastAsiaTheme="minorEastAsia" w:hAnsi="Times New Roman" w:cs="Times New Roman"/>
                <w:sz w:val="24"/>
                <w:szCs w:val="24"/>
                <w:vertAlign w:val="subscript"/>
                <w:lang w:eastAsia="pl-PL"/>
              </w:rPr>
              <w:t>CSDeklarowana</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w:t>
            </w:r>
            <w:r w:rsidRPr="005924B0">
              <w:rPr>
                <w:rFonts w:ascii="Times New Roman" w:eastAsiaTheme="minorEastAsia" w:hAnsi="Times New Roman" w:cs="Times New Roman"/>
                <w:sz w:val="24"/>
                <w:szCs w:val="24"/>
                <w:vertAlign w:val="subscript"/>
                <w:lang w:eastAsia="pl-PL"/>
              </w:rPr>
              <w:t>CS</w:t>
            </w:r>
            <w:r w:rsidRPr="005924B0">
              <w:rPr>
                <w:rFonts w:ascii="Times New Roman" w:eastAsiaTheme="minorEastAsia" w:hAnsi="Times New Roman" w:cs="Times New Roman"/>
                <w:sz w:val="24"/>
                <w:szCs w:val="24"/>
                <w:lang w:eastAsia="pl-PL"/>
              </w:rPr>
              <w:t>30</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w:t>
            </w:r>
            <w:r w:rsidRPr="005924B0">
              <w:rPr>
                <w:rFonts w:ascii="Times New Roman" w:eastAsiaTheme="minorEastAsia" w:hAnsi="Times New Roman" w:cs="Times New Roman"/>
                <w:sz w:val="24"/>
                <w:szCs w:val="24"/>
                <w:vertAlign w:val="subscript"/>
                <w:lang w:eastAsia="pl-PL"/>
              </w:rPr>
              <w:t>CS</w:t>
            </w:r>
            <w:r w:rsidRPr="005924B0">
              <w:rPr>
                <w:rFonts w:ascii="Times New Roman" w:eastAsiaTheme="minorEastAsia" w:hAnsi="Times New Roman" w:cs="Times New Roman"/>
                <w:sz w:val="24"/>
                <w:szCs w:val="24"/>
                <w:lang w:eastAsia="pl-PL"/>
              </w:rPr>
              <w:t>30</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13</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Skład chemiczny – uproszczony opis petrograficzny według PN-EN 932-3 [5]</w:t>
            </w:r>
          </w:p>
        </w:tc>
        <w:tc>
          <w:tcPr>
            <w:tcW w:w="4411" w:type="dxa"/>
            <w:gridSpan w:val="3"/>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deklarowany przez producenta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14</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Grube zanieczyszczenia lekkie według PN-EN 1744-1 [23], p. 14.2; kategoria nie wyższa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m</w:t>
            </w:r>
            <w:r w:rsidRPr="005924B0">
              <w:rPr>
                <w:rFonts w:ascii="Times New Roman" w:eastAsiaTheme="minorEastAsia" w:hAnsi="Times New Roman" w:cs="Times New Roman"/>
                <w:sz w:val="24"/>
                <w:szCs w:val="24"/>
                <w:vertAlign w:val="subscript"/>
                <w:lang w:eastAsia="pl-PL"/>
              </w:rPr>
              <w:t>LPC</w:t>
            </w:r>
            <w:r w:rsidRPr="005924B0">
              <w:rPr>
                <w:rFonts w:ascii="Times New Roman" w:eastAsiaTheme="minorEastAsia" w:hAnsi="Times New Roman" w:cs="Times New Roman"/>
                <w:sz w:val="24"/>
                <w:szCs w:val="24"/>
                <w:lang w:eastAsia="pl-PL"/>
              </w:rPr>
              <w:t xml:space="preserve"> 0,1</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m</w:t>
            </w:r>
            <w:r w:rsidRPr="005924B0">
              <w:rPr>
                <w:rFonts w:ascii="Times New Roman" w:eastAsiaTheme="minorEastAsia" w:hAnsi="Times New Roman" w:cs="Times New Roman"/>
                <w:sz w:val="24"/>
                <w:szCs w:val="24"/>
                <w:vertAlign w:val="subscript"/>
                <w:lang w:eastAsia="pl-PL"/>
              </w:rPr>
              <w:t>LPC</w:t>
            </w:r>
            <w:r w:rsidRPr="005924B0">
              <w:rPr>
                <w:rFonts w:ascii="Times New Roman" w:eastAsiaTheme="minorEastAsia" w:hAnsi="Times New Roman" w:cs="Times New Roman"/>
                <w:sz w:val="24"/>
                <w:szCs w:val="24"/>
                <w:lang w:eastAsia="pl-PL"/>
              </w:rPr>
              <w:t xml:space="preserve"> 0,1</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m</w:t>
            </w:r>
            <w:r w:rsidRPr="005924B0">
              <w:rPr>
                <w:rFonts w:ascii="Times New Roman" w:eastAsiaTheme="minorEastAsia" w:hAnsi="Times New Roman" w:cs="Times New Roman"/>
                <w:sz w:val="24"/>
                <w:szCs w:val="24"/>
                <w:vertAlign w:val="subscript"/>
                <w:lang w:eastAsia="pl-PL"/>
              </w:rPr>
              <w:t>LPC</w:t>
            </w:r>
            <w:r w:rsidRPr="005924B0">
              <w:rPr>
                <w:rFonts w:ascii="Times New Roman" w:eastAsiaTheme="minorEastAsia" w:hAnsi="Times New Roman" w:cs="Times New Roman"/>
                <w:sz w:val="24"/>
                <w:szCs w:val="24"/>
                <w:lang w:eastAsia="pl-PL"/>
              </w:rPr>
              <w:t xml:space="preserve"> 0,1</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Rozpad krzemianowy żużla wielkopie-cowego chłodzonego powietrzem według PN-EN 1744-1[23], p. 19.1:</w:t>
            </w:r>
          </w:p>
        </w:tc>
        <w:tc>
          <w:tcPr>
            <w:tcW w:w="4411"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wymagana odporność</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Rozpad żelazowy żużla wielkopie-cowego chłodzonego powietrzem według PN-EN 1744-1 [23], p. 19.2:</w:t>
            </w:r>
          </w:p>
        </w:tc>
        <w:tc>
          <w:tcPr>
            <w:tcW w:w="4411"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wymagana odporność</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w:t>
            </w:r>
          </w:p>
        </w:tc>
      </w:tr>
      <w:tr w:rsidR="005924B0" w:rsidRPr="005924B0" w:rsidTr="005924B0">
        <w:tc>
          <w:tcPr>
            <w:tcW w:w="58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17</w:t>
            </w:r>
          </w:p>
        </w:tc>
        <w:tc>
          <w:tcPr>
            <w:tcW w:w="3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Stałość objętości kruszywa z żużla stalowniczego według PN-EN 1744-1 [23], p. 19.3; kategoria nie wyższa niż:</w:t>
            </w:r>
          </w:p>
        </w:tc>
        <w:tc>
          <w:tcPr>
            <w:tcW w:w="142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V</w:t>
            </w:r>
            <w:r w:rsidRPr="005924B0">
              <w:rPr>
                <w:rFonts w:ascii="Times New Roman" w:eastAsiaTheme="minorEastAsia" w:hAnsi="Times New Roman" w:cs="Times New Roman"/>
                <w:sz w:val="24"/>
                <w:szCs w:val="24"/>
                <w:vertAlign w:val="subscript"/>
                <w:lang w:eastAsia="pl-PL"/>
              </w:rPr>
              <w:t>6,5</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V</w:t>
            </w:r>
            <w:r w:rsidRPr="005924B0">
              <w:rPr>
                <w:rFonts w:ascii="Times New Roman" w:eastAsiaTheme="minorEastAsia" w:hAnsi="Times New Roman" w:cs="Times New Roman"/>
                <w:sz w:val="24"/>
                <w:szCs w:val="24"/>
                <w:vertAlign w:val="subscript"/>
                <w:lang w:eastAsia="pl-PL"/>
              </w:rPr>
              <w:t>6,5</w:t>
            </w:r>
          </w:p>
        </w:tc>
        <w:tc>
          <w:tcPr>
            <w:tcW w:w="156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sz w:val="24"/>
                <w:szCs w:val="24"/>
                <w:lang w:eastAsia="pl-PL"/>
              </w:rPr>
              <w:t>V</w:t>
            </w:r>
            <w:r w:rsidRPr="005924B0">
              <w:rPr>
                <w:rFonts w:ascii="Times New Roman" w:eastAsiaTheme="minorEastAsia" w:hAnsi="Times New Roman" w:cs="Times New Roman"/>
                <w:sz w:val="24"/>
                <w:szCs w:val="24"/>
                <w:vertAlign w:val="subscript"/>
                <w:lang w:eastAsia="pl-PL"/>
              </w:rPr>
              <w:t>6,5</w:t>
            </w:r>
          </w:p>
        </w:tc>
      </w:tr>
      <w:tr w:rsidR="005924B0" w:rsidRPr="005924B0" w:rsidTr="005924B0">
        <w:tc>
          <w:tcPr>
            <w:tcW w:w="570" w:type="dxa"/>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p>
        </w:tc>
        <w:tc>
          <w:tcPr>
            <w:tcW w:w="15" w:type="dxa"/>
            <w:vAlign w:val="cente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c>
          <w:tcPr>
            <w:tcW w:w="3960" w:type="dxa"/>
            <w:vAlign w:val="cente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c>
          <w:tcPr>
            <w:tcW w:w="1425" w:type="dxa"/>
            <w:vAlign w:val="cente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c>
          <w:tcPr>
            <w:tcW w:w="1417" w:type="dxa"/>
            <w:vAlign w:val="cente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c>
          <w:tcPr>
            <w:tcW w:w="1569" w:type="dxa"/>
            <w:vAlign w:val="cente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Uwaga: Dopuszcza się stosowanie kruszywa o ciągłym uziarnieniu jako jeden ze składników mieszanki mineralnej; dla KR3 ÷ KR7 nie dopuszcza się, aby kruszywo o ciągłym uziarnieniu stanowiło 100% zaprojektowanej mieszanki mineralnej.</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w:t>
      </w:r>
    </w:p>
    <w:p w:rsidR="005924B0" w:rsidRPr="005924B0" w:rsidRDefault="005924B0" w:rsidP="005924B0">
      <w:pPr>
        <w:overflowPunct w:val="0"/>
        <w:autoSpaceDE w:val="0"/>
        <w:autoSpaceDN w:val="0"/>
        <w:spacing w:after="0" w:line="240" w:lineRule="auto"/>
        <w:ind w:left="360" w:right="-57"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e) Do podbudowy z betonu asfaltowego, w zależności od kategorii </w:t>
      </w:r>
      <w:proofErr w:type="gramStart"/>
      <w:r w:rsidRPr="005924B0">
        <w:rPr>
          <w:rFonts w:ascii="Times New Roman" w:eastAsiaTheme="minorEastAsia" w:hAnsi="Times New Roman" w:cs="Times New Roman"/>
          <w:sz w:val="24"/>
          <w:szCs w:val="24"/>
          <w:lang w:eastAsia="pl-PL"/>
        </w:rPr>
        <w:t>ruchu,  należy</w:t>
      </w:r>
      <w:proofErr w:type="gramEnd"/>
      <w:r w:rsidRPr="005924B0">
        <w:rPr>
          <w:rFonts w:ascii="Times New Roman" w:eastAsiaTheme="minorEastAsia" w:hAnsi="Times New Roman" w:cs="Times New Roman"/>
          <w:sz w:val="24"/>
          <w:szCs w:val="24"/>
          <w:lang w:eastAsia="pl-PL"/>
        </w:rPr>
        <w:t xml:space="preserve"> stosować wypełniacz spełniający wymagania podane w tablicy 10.</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10. Wymagane właściwości wypełniacza*) do </w:t>
      </w:r>
      <w:proofErr w:type="gramStart"/>
      <w:r w:rsidRPr="005924B0">
        <w:rPr>
          <w:rFonts w:ascii="Times New Roman" w:eastAsiaTheme="minorEastAsia" w:hAnsi="Times New Roman" w:cs="Times New Roman"/>
          <w:sz w:val="24"/>
          <w:szCs w:val="24"/>
          <w:lang w:eastAsia="pl-PL"/>
        </w:rPr>
        <w:t>podbudowy  z</w:t>
      </w:r>
      <w:proofErr w:type="gramEnd"/>
      <w:r w:rsidRPr="005924B0">
        <w:rPr>
          <w:rFonts w:ascii="Times New Roman" w:eastAsiaTheme="minorEastAsia" w:hAnsi="Times New Roman" w:cs="Times New Roman"/>
          <w:sz w:val="24"/>
          <w:szCs w:val="24"/>
          <w:lang w:eastAsia="pl-PL"/>
        </w:rPr>
        <w:t xml:space="preserve"> betonu asfaltowego</w:t>
      </w:r>
    </w:p>
    <w:tbl>
      <w:tblPr>
        <w:tblW w:w="9073" w:type="dxa"/>
        <w:tblCellMar>
          <w:left w:w="0" w:type="dxa"/>
          <w:right w:w="0" w:type="dxa"/>
        </w:tblCellMar>
        <w:tblLook w:val="04A0" w:firstRow="1" w:lastRow="0" w:firstColumn="1" w:lastColumn="0" w:noHBand="0" w:noVBand="1"/>
      </w:tblPr>
      <w:tblGrid>
        <w:gridCol w:w="5028"/>
        <w:gridCol w:w="1320"/>
        <w:gridCol w:w="1389"/>
        <w:gridCol w:w="1336"/>
      </w:tblGrid>
      <w:tr w:rsidR="005924B0" w:rsidRPr="005924B0" w:rsidTr="005924B0">
        <w:tc>
          <w:tcPr>
            <w:tcW w:w="5028"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kruszywa</w:t>
            </w:r>
          </w:p>
        </w:tc>
        <w:tc>
          <w:tcPr>
            <w:tcW w:w="4045"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Wymagania w zależności od kategorii ruchu</w:t>
            </w:r>
          </w:p>
        </w:tc>
      </w:tr>
      <w:tr w:rsidR="005924B0" w:rsidRPr="005924B0" w:rsidTr="005924B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KR1 </w:t>
            </w:r>
            <w:r w:rsidRPr="005924B0">
              <w:rPr>
                <w:rFonts w:ascii="Symbol" w:eastAsiaTheme="minorEastAsia" w:hAnsi="Symbol" w:cs="Times New Roman"/>
                <w:lang w:eastAsia="pl-PL"/>
              </w:rPr>
              <w:t></w:t>
            </w:r>
            <w:r w:rsidRPr="005924B0">
              <w:rPr>
                <w:rFonts w:ascii="Times New Roman" w:eastAsiaTheme="minorEastAsia" w:hAnsi="Times New Roman" w:cs="Times New Roman"/>
                <w:lang w:eastAsia="pl-PL"/>
              </w:rPr>
              <w:t xml:space="preserve"> KR2</w:t>
            </w:r>
          </w:p>
        </w:tc>
        <w:tc>
          <w:tcPr>
            <w:tcW w:w="138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KR3 </w:t>
            </w:r>
            <w:r w:rsidRPr="005924B0">
              <w:rPr>
                <w:rFonts w:ascii="Symbol" w:eastAsiaTheme="minorEastAsia" w:hAnsi="Symbol" w:cs="Times New Roman"/>
                <w:lang w:eastAsia="pl-PL"/>
              </w:rPr>
              <w:t></w:t>
            </w:r>
            <w:r w:rsidRPr="005924B0">
              <w:rPr>
                <w:rFonts w:ascii="Times New Roman" w:eastAsiaTheme="minorEastAsia" w:hAnsi="Times New Roman" w:cs="Times New Roman"/>
                <w:lang w:eastAsia="pl-PL"/>
              </w:rPr>
              <w:t xml:space="preserve"> KR4</w:t>
            </w:r>
          </w:p>
        </w:tc>
        <w:tc>
          <w:tcPr>
            <w:tcW w:w="133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KR5 </w:t>
            </w:r>
            <w:r w:rsidRPr="005924B0">
              <w:rPr>
                <w:rFonts w:ascii="Symbol" w:eastAsiaTheme="minorEastAsia" w:hAnsi="Symbol" w:cs="Times New Roman"/>
                <w:lang w:eastAsia="pl-PL"/>
              </w:rPr>
              <w:t></w:t>
            </w:r>
            <w:r w:rsidRPr="005924B0">
              <w:rPr>
                <w:rFonts w:ascii="Times New Roman" w:eastAsiaTheme="minorEastAsia" w:hAnsi="Times New Roman" w:cs="Times New Roman"/>
                <w:lang w:eastAsia="pl-PL"/>
              </w:rPr>
              <w:t xml:space="preserve"> KR7</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 według PN-EN 933-10 [12]</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zgodnie z tablicą 24 w PN-EN 13043 [50]</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Jakość pyłów według PN-EN 933-9 [11]; kategoria nie wyższa niż:</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MB</w:t>
            </w:r>
            <w:r w:rsidRPr="005924B0">
              <w:rPr>
                <w:rFonts w:ascii="Times New Roman" w:eastAsiaTheme="minorEastAsia" w:hAnsi="Times New Roman" w:cs="Times New Roman"/>
                <w:sz w:val="24"/>
                <w:szCs w:val="24"/>
                <w:vertAlign w:val="subscript"/>
                <w:lang w:eastAsia="pl-PL"/>
              </w:rPr>
              <w:t>F</w:t>
            </w:r>
            <w:r w:rsidRPr="005924B0">
              <w:rPr>
                <w:rFonts w:ascii="Times New Roman" w:eastAsiaTheme="minorEastAsia" w:hAnsi="Times New Roman" w:cs="Times New Roman"/>
                <w:sz w:val="24"/>
                <w:szCs w:val="24"/>
                <w:lang w:eastAsia="pl-PL"/>
              </w:rPr>
              <w:t>10</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wody według PN-EN 1097-5 [16], nie wyższa niż:</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1 % (m/m)</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 ziaren według PN-EN 1097-7 [18]</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deklarowana przez producenta</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Wolne przestrzenie w suchym zagęszczonym wypełniaczu według PN-EN 1097-4 [15], wymagana kategoria:</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V</w:t>
            </w:r>
            <w:r w:rsidRPr="005924B0">
              <w:rPr>
                <w:rFonts w:ascii="Times New Roman" w:eastAsiaTheme="minorEastAsia" w:hAnsi="Times New Roman" w:cs="Times New Roman"/>
                <w:sz w:val="24"/>
                <w:szCs w:val="24"/>
                <w:vertAlign w:val="subscript"/>
                <w:lang w:eastAsia="pl-PL"/>
              </w:rPr>
              <w:t>28/45</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Przyrost temperatury mięknienia według PN-EN 13179-1 [56], wymagana kategoria:</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24"/>
                <w:szCs w:val="24"/>
                <w:vertAlign w:val="subscript"/>
                <w:lang w:eastAsia="pl-PL"/>
              </w:rPr>
              <w:t>R&amp;B</w:t>
            </w:r>
            <w:r w:rsidRPr="005924B0">
              <w:rPr>
                <w:rFonts w:ascii="Times New Roman" w:eastAsiaTheme="minorEastAsia" w:hAnsi="Times New Roman" w:cs="Times New Roman"/>
                <w:sz w:val="24"/>
                <w:szCs w:val="24"/>
                <w:lang w:eastAsia="pl-PL"/>
              </w:rPr>
              <w:t>8/25</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Rozpuszczalność w wodzie według PN-EN 1744-1 [23], kategoria nie wyższa niż:</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WS</w:t>
            </w:r>
            <w:r w:rsidRPr="005924B0">
              <w:rPr>
                <w:rFonts w:ascii="Times New Roman" w:eastAsiaTheme="minorEastAsia" w:hAnsi="Times New Roman" w:cs="Times New Roman"/>
                <w:sz w:val="24"/>
                <w:szCs w:val="24"/>
                <w:vertAlign w:val="subscript"/>
                <w:lang w:eastAsia="pl-PL"/>
              </w:rPr>
              <w:t>10</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CaCO</w:t>
            </w:r>
            <w:r w:rsidRPr="005924B0">
              <w:rPr>
                <w:rFonts w:ascii="Times New Roman" w:eastAsiaTheme="minorEastAsia" w:hAnsi="Times New Roman" w:cs="Times New Roman"/>
                <w:sz w:val="24"/>
                <w:szCs w:val="24"/>
                <w:vertAlign w:val="subscript"/>
                <w:lang w:eastAsia="pl-PL"/>
              </w:rPr>
              <w:t>3</w:t>
            </w:r>
            <w:r w:rsidRPr="005924B0">
              <w:rPr>
                <w:rFonts w:ascii="Times New Roman" w:eastAsiaTheme="minorEastAsia" w:hAnsi="Times New Roman" w:cs="Times New Roman"/>
                <w:sz w:val="24"/>
                <w:szCs w:val="24"/>
                <w:lang w:eastAsia="pl-PL"/>
              </w:rPr>
              <w:t xml:space="preserve"> w wypełniaczu wapiennym według PN-EN 196-2 [3], kategoria nie niższa niż:</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CC</w:t>
            </w:r>
            <w:r w:rsidRPr="005924B0">
              <w:rPr>
                <w:rFonts w:ascii="Times New Roman" w:eastAsiaTheme="minorEastAsia" w:hAnsi="Times New Roman" w:cs="Times New Roman"/>
                <w:sz w:val="24"/>
                <w:szCs w:val="24"/>
                <w:vertAlign w:val="subscript"/>
                <w:lang w:eastAsia="pl-PL"/>
              </w:rPr>
              <w:t>70</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wodorotlenku wapnia w wypełniaczu mieszanym wg PN-EN 459-2 [4], wymagana kategoria:</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w:t>
            </w:r>
            <w:r w:rsidRPr="005924B0">
              <w:rPr>
                <w:rFonts w:ascii="Times New Roman" w:eastAsiaTheme="minorEastAsia" w:hAnsi="Times New Roman" w:cs="Times New Roman"/>
                <w:sz w:val="24"/>
                <w:szCs w:val="24"/>
                <w:vertAlign w:val="subscript"/>
                <w:lang w:eastAsia="pl-PL"/>
              </w:rPr>
              <w:t>a</w:t>
            </w:r>
            <w:r w:rsidRPr="005924B0">
              <w:rPr>
                <w:rFonts w:ascii="Times New Roman" w:eastAsiaTheme="minorEastAsia" w:hAnsi="Times New Roman" w:cs="Times New Roman"/>
                <w:sz w:val="24"/>
                <w:szCs w:val="24"/>
                <w:lang w:eastAsia="pl-PL"/>
              </w:rPr>
              <w:t>Deklarowana</w:t>
            </w:r>
          </w:p>
        </w:tc>
      </w:tr>
      <w:tr w:rsidR="005924B0" w:rsidRPr="005924B0" w:rsidTr="005924B0">
        <w:tc>
          <w:tcPr>
            <w:tcW w:w="502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„Liczba asfaltowa” według PN-EN 13179-2 [57], wymagana kategoria:</w:t>
            </w:r>
          </w:p>
        </w:tc>
        <w:tc>
          <w:tcPr>
            <w:tcW w:w="4045"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BN</w:t>
            </w:r>
            <w:r w:rsidRPr="005924B0">
              <w:rPr>
                <w:rFonts w:ascii="Times New Roman" w:eastAsiaTheme="minorEastAsia" w:hAnsi="Times New Roman" w:cs="Times New Roman"/>
                <w:sz w:val="24"/>
                <w:szCs w:val="24"/>
                <w:vertAlign w:val="subscript"/>
                <w:lang w:eastAsia="pl-PL"/>
              </w:rPr>
              <w:t>Deklarowana</w:t>
            </w:r>
          </w:p>
        </w:tc>
      </w:tr>
    </w:tbl>
    <w:p w:rsidR="005924B0" w:rsidRDefault="005924B0" w:rsidP="005924B0">
      <w:pPr>
        <w:overflowPunct w:val="0"/>
        <w:autoSpaceDE w:val="0"/>
        <w:autoSpaceDN w:val="0"/>
        <w:spacing w:after="0" w:line="240" w:lineRule="auto"/>
        <w:ind w:left="426" w:hanging="426"/>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Można stosować pyły z odpylania, pod warunkiem spełniania wymagań jak dla wypełniacza zgodnie z pkt.5 PN-EN 13043 [50]. Proporcja pyłów i wypełniacza wapiennego powinna być tak dobrana, aby kategoria zawartości CaCO</w:t>
      </w:r>
      <w:r w:rsidRPr="005924B0">
        <w:rPr>
          <w:rFonts w:ascii="Times New Roman" w:eastAsiaTheme="minorEastAsia" w:hAnsi="Times New Roman" w:cs="Times New Roman"/>
          <w:sz w:val="24"/>
          <w:szCs w:val="24"/>
          <w:vertAlign w:val="subscript"/>
          <w:lang w:eastAsia="pl-PL"/>
        </w:rPr>
        <w:t>3</w:t>
      </w:r>
      <w:r w:rsidRPr="005924B0">
        <w:rPr>
          <w:rFonts w:ascii="Times New Roman" w:eastAsiaTheme="minorEastAsia" w:hAnsi="Times New Roman" w:cs="Times New Roman"/>
          <w:sz w:val="24"/>
          <w:szCs w:val="24"/>
          <w:lang w:eastAsia="pl-PL"/>
        </w:rPr>
        <w:t xml:space="preserve"> w mieszance pyłów i wypełniacza wapiennego była nie niższa niż CC</w:t>
      </w:r>
      <w:r w:rsidRPr="005924B0">
        <w:rPr>
          <w:rFonts w:ascii="Times New Roman" w:eastAsiaTheme="minorEastAsia" w:hAnsi="Times New Roman" w:cs="Times New Roman"/>
          <w:sz w:val="24"/>
          <w:szCs w:val="24"/>
          <w:vertAlign w:val="subscript"/>
          <w:lang w:eastAsia="pl-PL"/>
        </w:rPr>
        <w:t>70</w:t>
      </w:r>
      <w:r w:rsidRPr="005924B0">
        <w:rPr>
          <w:rFonts w:ascii="Times New Roman" w:eastAsiaTheme="minorEastAsia" w:hAnsi="Times New Roman" w:cs="Times New Roman"/>
          <w:sz w:val="24"/>
          <w:szCs w:val="24"/>
          <w:lang w:eastAsia="pl-PL"/>
        </w:rPr>
        <w:t xml:space="preserve">. </w:t>
      </w:r>
    </w:p>
    <w:p w:rsidR="00EB0210" w:rsidRDefault="00EB0210" w:rsidP="005924B0">
      <w:pPr>
        <w:overflowPunct w:val="0"/>
        <w:autoSpaceDE w:val="0"/>
        <w:autoSpaceDN w:val="0"/>
        <w:spacing w:after="0" w:line="240" w:lineRule="auto"/>
        <w:ind w:left="426" w:hanging="426"/>
        <w:jc w:val="both"/>
        <w:rPr>
          <w:rFonts w:ascii="Times New Roman" w:eastAsiaTheme="minorEastAsia" w:hAnsi="Times New Roman" w:cs="Times New Roman"/>
          <w:sz w:val="24"/>
          <w:szCs w:val="24"/>
          <w:lang w:eastAsia="pl-PL"/>
        </w:rPr>
      </w:pPr>
    </w:p>
    <w:p w:rsidR="00EB0210" w:rsidRDefault="00EB0210" w:rsidP="00EB0210">
      <w:pPr>
        <w:overflowPunct w:val="0"/>
        <w:autoSpaceDE w:val="0"/>
        <w:autoSpaceDN w:val="0"/>
        <w:spacing w:after="0" w:line="240" w:lineRule="auto"/>
        <w:ind w:left="425" w:hanging="425"/>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f) Zawartość SiO</w:t>
      </w:r>
      <w:r>
        <w:rPr>
          <w:rFonts w:ascii="Times New Roman" w:eastAsiaTheme="minorEastAsia" w:hAnsi="Times New Roman" w:cs="Times New Roman"/>
          <w:sz w:val="24"/>
          <w:szCs w:val="24"/>
          <w:vertAlign w:val="superscript"/>
          <w:lang w:eastAsia="pl-PL"/>
        </w:rPr>
        <w:t>2</w:t>
      </w:r>
    </w:p>
    <w:p w:rsidR="00EB0210" w:rsidRDefault="00EB0210" w:rsidP="00EB0210">
      <w:pPr>
        <w:overflowPunct w:val="0"/>
        <w:autoSpaceDE w:val="0"/>
        <w:autoSpaceDN w:val="0"/>
        <w:spacing w:after="0" w:line="240" w:lineRule="auto"/>
        <w:ind w:left="425" w:hanging="425"/>
        <w:jc w:val="both"/>
        <w:rPr>
          <w:rFonts w:ascii="Times New Roman" w:eastAsiaTheme="minorEastAsia" w:hAnsi="Times New Roman" w:cs="Times New Roman"/>
          <w:sz w:val="24"/>
          <w:szCs w:val="24"/>
          <w:lang w:eastAsia="pl-PL"/>
        </w:rPr>
      </w:pPr>
    </w:p>
    <w:p w:rsidR="00EB0210" w:rsidRDefault="00EB0210" w:rsidP="00EB0210">
      <w:pPr>
        <w:rPr>
          <w:rFonts w:ascii="Times New Roman" w:hAnsi="Times New Roman" w:cs="Times New Roman"/>
          <w:sz w:val="24"/>
          <w:szCs w:val="24"/>
        </w:rPr>
      </w:pPr>
    </w:p>
    <w:p w:rsidR="00EB0210" w:rsidRDefault="00EB0210" w:rsidP="00EB0210">
      <w:pPr>
        <w:rPr>
          <w:rFonts w:ascii="Times New Roman" w:hAnsi="Times New Roman" w:cs="Times New Roman"/>
          <w:sz w:val="24"/>
          <w:szCs w:val="24"/>
        </w:rPr>
      </w:pPr>
    </w:p>
    <w:p w:rsidR="00EB0210" w:rsidRDefault="00EB0210" w:rsidP="00EB0210">
      <w:pPr>
        <w:rPr>
          <w:rFonts w:ascii="Times New Roman" w:hAnsi="Times New Roman" w:cs="Times New Roman"/>
          <w:sz w:val="24"/>
          <w:szCs w:val="24"/>
        </w:rPr>
      </w:pPr>
    </w:p>
    <w:p w:rsidR="00EB0210" w:rsidRDefault="00EB0210" w:rsidP="00EB0210">
      <w:pPr>
        <w:rPr>
          <w:rFonts w:ascii="Times New Roman" w:hAnsi="Times New Roman" w:cs="Times New Roman"/>
          <w:sz w:val="24"/>
          <w:szCs w:val="24"/>
        </w:rPr>
      </w:pPr>
    </w:p>
    <w:p w:rsidR="00EB0210" w:rsidRDefault="00EB0210" w:rsidP="00EB0210">
      <w:pPr>
        <w:rPr>
          <w:rFonts w:ascii="Times New Roman" w:hAnsi="Times New Roman" w:cs="Times New Roman"/>
          <w:sz w:val="24"/>
          <w:szCs w:val="24"/>
        </w:rPr>
      </w:pPr>
    </w:p>
    <w:p w:rsidR="00EB0210" w:rsidRDefault="00EB0210" w:rsidP="00EB0210">
      <w:pPr>
        <w:rPr>
          <w:rFonts w:ascii="Times New Roman" w:hAnsi="Times New Roman" w:cs="Times New Roman"/>
          <w:sz w:val="24"/>
          <w:szCs w:val="24"/>
        </w:rPr>
      </w:pPr>
    </w:p>
    <w:p w:rsidR="00EB0210" w:rsidRDefault="00EB0210" w:rsidP="00EB0210">
      <w:pPr>
        <w:rPr>
          <w:rFonts w:ascii="Times New Roman" w:hAnsi="Times New Roman" w:cs="Times New Roman"/>
          <w:sz w:val="24"/>
          <w:szCs w:val="24"/>
        </w:rPr>
      </w:pPr>
    </w:p>
    <w:p w:rsidR="00EB0210" w:rsidRDefault="00EB0210" w:rsidP="00EB0210">
      <w:pPr>
        <w:rPr>
          <w:rFonts w:ascii="Times New Roman" w:hAnsi="Times New Roman" w:cs="Times New Roman"/>
          <w:sz w:val="24"/>
          <w:szCs w:val="24"/>
        </w:rPr>
      </w:pPr>
    </w:p>
    <w:p w:rsidR="00EB0210" w:rsidRPr="00EB0210" w:rsidRDefault="00EB0210" w:rsidP="00EB0210">
      <w:pPr>
        <w:rPr>
          <w:rFonts w:ascii="Times New Roman" w:hAnsi="Times New Roman" w:cs="Times New Roman"/>
          <w:sz w:val="24"/>
          <w:szCs w:val="24"/>
        </w:rPr>
      </w:pPr>
      <w:r w:rsidRPr="00EB0210">
        <w:rPr>
          <w:rFonts w:ascii="Times New Roman" w:hAnsi="Times New Roman" w:cs="Times New Roman"/>
          <w:sz w:val="24"/>
          <w:szCs w:val="24"/>
        </w:rPr>
        <w:lastRenderedPageBreak/>
        <w:t>Tabela Nr 1</w:t>
      </w:r>
      <w:r>
        <w:rPr>
          <w:rFonts w:ascii="Times New Roman" w:hAnsi="Times New Roman" w:cs="Times New Roman"/>
          <w:sz w:val="24"/>
          <w:szCs w:val="24"/>
        </w:rPr>
        <w:t>0a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5"/>
        <w:gridCol w:w="696"/>
        <w:gridCol w:w="696"/>
        <w:gridCol w:w="696"/>
        <w:gridCol w:w="696"/>
        <w:gridCol w:w="696"/>
        <w:gridCol w:w="695"/>
        <w:gridCol w:w="695"/>
        <w:gridCol w:w="695"/>
        <w:gridCol w:w="695"/>
        <w:gridCol w:w="695"/>
        <w:gridCol w:w="695"/>
        <w:gridCol w:w="697"/>
      </w:tblGrid>
      <w:tr w:rsidR="00EB0210" w:rsidRPr="00EB0210" w:rsidTr="009120FA">
        <w:trPr>
          <w:cantSplit/>
          <w:trHeight w:val="306"/>
        </w:trPr>
        <w:tc>
          <w:tcPr>
            <w:tcW w:w="765" w:type="dxa"/>
            <w:vMerge w:val="restart"/>
            <w:tcBorders>
              <w:top w:val="single" w:sz="4" w:space="0" w:color="auto"/>
              <w:left w:val="single" w:sz="4" w:space="0" w:color="auto"/>
              <w:bottom w:val="single" w:sz="4" w:space="0" w:color="auto"/>
              <w:right w:val="doub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b/>
                <w:bCs/>
                <w:sz w:val="24"/>
                <w:szCs w:val="24"/>
              </w:rPr>
              <w:t>Kategoria ruchu</w:t>
            </w:r>
          </w:p>
        </w:tc>
        <w:tc>
          <w:tcPr>
            <w:tcW w:w="6633" w:type="dxa"/>
            <w:gridSpan w:val="9"/>
            <w:tcBorders>
              <w:top w:val="single" w:sz="4" w:space="0" w:color="auto"/>
              <w:left w:val="double" w:sz="4" w:space="0" w:color="auto"/>
              <w:bottom w:val="single" w:sz="4" w:space="0" w:color="auto"/>
              <w:right w:val="double" w:sz="4" w:space="0" w:color="auto"/>
            </w:tcBorders>
            <w:vAlign w:val="center"/>
            <w:hideMark/>
          </w:tcPr>
          <w:p w:rsidR="00EB0210" w:rsidRPr="00EB0210" w:rsidRDefault="00EB0210" w:rsidP="004976DE">
            <w:pPr>
              <w:spacing w:after="0" w:line="240" w:lineRule="auto"/>
              <w:jc w:val="center"/>
              <w:rPr>
                <w:rFonts w:ascii="Times New Roman" w:hAnsi="Times New Roman" w:cs="Times New Roman"/>
                <w:sz w:val="24"/>
                <w:szCs w:val="24"/>
              </w:rPr>
            </w:pPr>
            <w:r w:rsidRPr="00EB0210">
              <w:rPr>
                <w:rFonts w:ascii="Times New Roman" w:hAnsi="Times New Roman" w:cs="Times New Roman"/>
                <w:sz w:val="24"/>
                <w:szCs w:val="24"/>
              </w:rPr>
              <w:t xml:space="preserve">Zawartość </w:t>
            </w:r>
            <w:r w:rsidRPr="00EB0210">
              <w:rPr>
                <w:rFonts w:ascii="Times New Roman" w:hAnsi="Times New Roman" w:cs="Times New Roman"/>
                <w:b/>
                <w:bCs/>
                <w:sz w:val="24"/>
                <w:szCs w:val="24"/>
              </w:rPr>
              <w:t>SiO</w:t>
            </w:r>
            <w:r w:rsidRPr="00EB0210">
              <w:rPr>
                <w:rFonts w:ascii="Times New Roman" w:hAnsi="Times New Roman" w:cs="Times New Roman"/>
                <w:b/>
                <w:bCs/>
                <w:sz w:val="24"/>
                <w:szCs w:val="24"/>
                <w:vertAlign w:val="subscript"/>
              </w:rPr>
              <w:t>2</w:t>
            </w:r>
            <w:r w:rsidRPr="00EB0210">
              <w:rPr>
                <w:rFonts w:ascii="Times New Roman" w:hAnsi="Times New Roman" w:cs="Times New Roman"/>
                <w:sz w:val="24"/>
                <w:szCs w:val="24"/>
              </w:rPr>
              <w:t xml:space="preserve"> (%)</w:t>
            </w:r>
          </w:p>
        </w:tc>
        <w:tc>
          <w:tcPr>
            <w:tcW w:w="2214" w:type="dxa"/>
            <w:gridSpan w:val="3"/>
            <w:vMerge w:val="restart"/>
            <w:tcBorders>
              <w:top w:val="single" w:sz="4" w:space="0" w:color="auto"/>
              <w:left w:val="double" w:sz="4" w:space="0" w:color="auto"/>
              <w:bottom w:val="single" w:sz="4" w:space="0" w:color="auto"/>
              <w:right w:val="single" w:sz="4" w:space="0" w:color="auto"/>
            </w:tcBorders>
            <w:vAlign w:val="center"/>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b/>
                <w:bCs/>
                <w:sz w:val="24"/>
                <w:szCs w:val="24"/>
              </w:rPr>
              <w:t>żużle stalownicze, pomiedziowe</w:t>
            </w:r>
          </w:p>
        </w:tc>
      </w:tr>
      <w:tr w:rsidR="00EB0210" w:rsidRPr="00EB0210" w:rsidTr="009120FA">
        <w:trPr>
          <w:cantSplit/>
          <w:trHeight w:val="306"/>
        </w:trPr>
        <w:tc>
          <w:tcPr>
            <w:tcW w:w="0" w:type="auto"/>
            <w:vMerge/>
            <w:tcBorders>
              <w:top w:val="single" w:sz="4" w:space="0" w:color="auto"/>
              <w:left w:val="single" w:sz="4" w:space="0" w:color="auto"/>
              <w:bottom w:val="single" w:sz="4" w:space="0" w:color="auto"/>
              <w:right w:val="double" w:sz="4" w:space="0" w:color="auto"/>
            </w:tcBorders>
            <w:vAlign w:val="center"/>
            <w:hideMark/>
          </w:tcPr>
          <w:p w:rsidR="00EB0210" w:rsidRPr="00EB0210" w:rsidRDefault="00EB0210" w:rsidP="009120FA">
            <w:pPr>
              <w:rPr>
                <w:rFonts w:ascii="Times New Roman" w:hAnsi="Times New Roman" w:cs="Times New Roman"/>
                <w:sz w:val="24"/>
                <w:szCs w:val="24"/>
              </w:rPr>
            </w:pPr>
          </w:p>
        </w:tc>
        <w:tc>
          <w:tcPr>
            <w:tcW w:w="2211" w:type="dxa"/>
            <w:gridSpan w:val="3"/>
            <w:tcBorders>
              <w:top w:val="single" w:sz="4" w:space="0" w:color="auto"/>
              <w:left w:val="double" w:sz="4" w:space="0" w:color="auto"/>
              <w:bottom w:val="single" w:sz="4" w:space="0" w:color="auto"/>
              <w:right w:val="double" w:sz="4" w:space="0" w:color="auto"/>
            </w:tcBorders>
            <w:vAlign w:val="center"/>
            <w:hideMark/>
          </w:tcPr>
          <w:p w:rsidR="00EB0210" w:rsidRPr="004976DE" w:rsidRDefault="00EB0210" w:rsidP="004976DE">
            <w:pPr>
              <w:pStyle w:val="Tekstpodstawowy2"/>
              <w:spacing w:after="0" w:line="240" w:lineRule="auto"/>
              <w:jc w:val="center"/>
              <w:rPr>
                <w:b/>
                <w:bCs/>
                <w:lang w:val="de-DE"/>
              </w:rPr>
            </w:pPr>
            <w:r w:rsidRPr="004976DE">
              <w:rPr>
                <w:b/>
                <w:bCs/>
                <w:lang w:val="de-DE"/>
              </w:rPr>
              <w:t>≤ 50</w:t>
            </w:r>
          </w:p>
        </w:tc>
        <w:tc>
          <w:tcPr>
            <w:tcW w:w="2211" w:type="dxa"/>
            <w:gridSpan w:val="3"/>
            <w:tcBorders>
              <w:top w:val="single" w:sz="4" w:space="0" w:color="auto"/>
              <w:left w:val="double" w:sz="4" w:space="0" w:color="auto"/>
              <w:bottom w:val="single" w:sz="4" w:space="0" w:color="auto"/>
              <w:right w:val="double" w:sz="4" w:space="0" w:color="auto"/>
            </w:tcBorders>
            <w:vAlign w:val="center"/>
            <w:hideMark/>
          </w:tcPr>
          <w:p w:rsidR="00EB0210" w:rsidRPr="004976DE" w:rsidRDefault="00EB0210" w:rsidP="004976DE">
            <w:pPr>
              <w:spacing w:after="0" w:line="240" w:lineRule="auto"/>
              <w:jc w:val="center"/>
              <w:rPr>
                <w:rFonts w:ascii="Times New Roman" w:hAnsi="Times New Roman" w:cs="Times New Roman"/>
                <w:b/>
                <w:bCs/>
                <w:sz w:val="24"/>
                <w:szCs w:val="24"/>
                <w:lang w:val="en-US"/>
              </w:rPr>
            </w:pPr>
            <w:r w:rsidRPr="004976DE">
              <w:rPr>
                <w:rFonts w:ascii="Times New Roman" w:hAnsi="Times New Roman" w:cs="Times New Roman"/>
                <w:b/>
                <w:bCs/>
                <w:sz w:val="24"/>
                <w:szCs w:val="24"/>
                <w:lang w:val="en-US"/>
              </w:rPr>
              <w:t>(50 ÷ 60)</w:t>
            </w:r>
          </w:p>
        </w:tc>
        <w:tc>
          <w:tcPr>
            <w:tcW w:w="2211" w:type="dxa"/>
            <w:gridSpan w:val="3"/>
            <w:tcBorders>
              <w:top w:val="single" w:sz="4" w:space="0" w:color="auto"/>
              <w:left w:val="double" w:sz="4" w:space="0" w:color="auto"/>
              <w:bottom w:val="single" w:sz="4" w:space="0" w:color="auto"/>
              <w:right w:val="double" w:sz="4" w:space="0" w:color="auto"/>
            </w:tcBorders>
            <w:vAlign w:val="center"/>
            <w:hideMark/>
          </w:tcPr>
          <w:p w:rsidR="00EB0210" w:rsidRPr="004976DE" w:rsidRDefault="00EB0210" w:rsidP="004976DE">
            <w:pPr>
              <w:spacing w:after="0" w:line="240" w:lineRule="auto"/>
              <w:jc w:val="center"/>
              <w:rPr>
                <w:rFonts w:ascii="Times New Roman" w:hAnsi="Times New Roman" w:cs="Times New Roman"/>
                <w:b/>
                <w:bCs/>
                <w:sz w:val="24"/>
                <w:szCs w:val="24"/>
                <w:lang w:val="en-US"/>
              </w:rPr>
            </w:pPr>
            <w:r w:rsidRPr="004976DE">
              <w:rPr>
                <w:rFonts w:ascii="Times New Roman" w:hAnsi="Times New Roman" w:cs="Times New Roman"/>
                <w:b/>
                <w:bCs/>
                <w:sz w:val="24"/>
                <w:szCs w:val="24"/>
                <w:lang w:val="en-US"/>
              </w:rPr>
              <w:t>≥ 60</w:t>
            </w:r>
          </w:p>
        </w:tc>
        <w:tc>
          <w:tcPr>
            <w:tcW w:w="0" w:type="auto"/>
            <w:gridSpan w:val="3"/>
            <w:vMerge/>
            <w:tcBorders>
              <w:top w:val="single" w:sz="4" w:space="0" w:color="auto"/>
              <w:left w:val="double" w:sz="4" w:space="0" w:color="auto"/>
              <w:bottom w:val="single" w:sz="4" w:space="0" w:color="auto"/>
              <w:right w:val="single" w:sz="4" w:space="0" w:color="auto"/>
            </w:tcBorders>
            <w:vAlign w:val="center"/>
            <w:hideMark/>
          </w:tcPr>
          <w:p w:rsidR="00EB0210" w:rsidRPr="00EB0210" w:rsidRDefault="00EB0210" w:rsidP="009120FA">
            <w:pPr>
              <w:rPr>
                <w:rFonts w:ascii="Times New Roman" w:hAnsi="Times New Roman" w:cs="Times New Roman"/>
                <w:sz w:val="24"/>
                <w:szCs w:val="24"/>
              </w:rPr>
            </w:pPr>
          </w:p>
        </w:tc>
      </w:tr>
      <w:tr w:rsidR="00EB0210" w:rsidRPr="00EB0210" w:rsidTr="009120FA">
        <w:trPr>
          <w:cantSplit/>
          <w:trHeight w:val="1417"/>
        </w:trPr>
        <w:tc>
          <w:tcPr>
            <w:tcW w:w="0" w:type="auto"/>
            <w:vMerge/>
            <w:tcBorders>
              <w:top w:val="single" w:sz="4" w:space="0" w:color="auto"/>
              <w:left w:val="single" w:sz="4" w:space="0" w:color="auto"/>
              <w:bottom w:val="single" w:sz="4" w:space="0" w:color="auto"/>
              <w:right w:val="double" w:sz="4" w:space="0" w:color="auto"/>
            </w:tcBorders>
            <w:vAlign w:val="center"/>
            <w:hideMark/>
          </w:tcPr>
          <w:p w:rsidR="00EB0210" w:rsidRPr="00EB0210" w:rsidRDefault="00EB0210" w:rsidP="009120FA">
            <w:pPr>
              <w:rPr>
                <w:rFonts w:ascii="Times New Roman" w:hAnsi="Times New Roman" w:cs="Times New Roman"/>
                <w:sz w:val="24"/>
                <w:szCs w:val="24"/>
              </w:rPr>
            </w:pPr>
          </w:p>
        </w:tc>
        <w:tc>
          <w:tcPr>
            <w:tcW w:w="737" w:type="dxa"/>
            <w:tcBorders>
              <w:top w:val="single" w:sz="4" w:space="0" w:color="auto"/>
              <w:left w:val="doub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podbudowy</w:t>
            </w:r>
          </w:p>
        </w:tc>
        <w:tc>
          <w:tcPr>
            <w:tcW w:w="737" w:type="dxa"/>
            <w:tcBorders>
              <w:top w:val="single" w:sz="4" w:space="0" w:color="auto"/>
              <w:left w:val="sing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wiążąca</w:t>
            </w:r>
          </w:p>
        </w:tc>
        <w:tc>
          <w:tcPr>
            <w:tcW w:w="737" w:type="dxa"/>
            <w:tcBorders>
              <w:top w:val="single" w:sz="4" w:space="0" w:color="auto"/>
              <w:left w:val="single" w:sz="4" w:space="0" w:color="auto"/>
              <w:bottom w:val="single" w:sz="4" w:space="0" w:color="auto"/>
              <w:right w:val="doub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ścieralna</w:t>
            </w:r>
          </w:p>
        </w:tc>
        <w:tc>
          <w:tcPr>
            <w:tcW w:w="737" w:type="dxa"/>
            <w:tcBorders>
              <w:top w:val="single" w:sz="4" w:space="0" w:color="auto"/>
              <w:left w:val="doub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podbudowy</w:t>
            </w:r>
          </w:p>
        </w:tc>
        <w:tc>
          <w:tcPr>
            <w:tcW w:w="737" w:type="dxa"/>
            <w:tcBorders>
              <w:top w:val="single" w:sz="4" w:space="0" w:color="auto"/>
              <w:left w:val="sing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wiążąca</w:t>
            </w:r>
          </w:p>
        </w:tc>
        <w:tc>
          <w:tcPr>
            <w:tcW w:w="737" w:type="dxa"/>
            <w:tcBorders>
              <w:top w:val="single" w:sz="4" w:space="0" w:color="auto"/>
              <w:left w:val="single" w:sz="4" w:space="0" w:color="auto"/>
              <w:bottom w:val="single" w:sz="4" w:space="0" w:color="auto"/>
              <w:right w:val="doub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ścieralna</w:t>
            </w:r>
          </w:p>
        </w:tc>
        <w:tc>
          <w:tcPr>
            <w:tcW w:w="737" w:type="dxa"/>
            <w:tcBorders>
              <w:top w:val="single" w:sz="4" w:space="0" w:color="auto"/>
              <w:left w:val="doub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podbudowy</w:t>
            </w:r>
          </w:p>
        </w:tc>
        <w:tc>
          <w:tcPr>
            <w:tcW w:w="737" w:type="dxa"/>
            <w:tcBorders>
              <w:top w:val="single" w:sz="4" w:space="0" w:color="auto"/>
              <w:left w:val="sing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wiążąca</w:t>
            </w:r>
          </w:p>
        </w:tc>
        <w:tc>
          <w:tcPr>
            <w:tcW w:w="737" w:type="dxa"/>
            <w:tcBorders>
              <w:top w:val="single" w:sz="4" w:space="0" w:color="auto"/>
              <w:left w:val="single" w:sz="4" w:space="0" w:color="auto"/>
              <w:bottom w:val="single" w:sz="4" w:space="0" w:color="auto"/>
              <w:right w:val="doub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ścieralna</w:t>
            </w:r>
          </w:p>
        </w:tc>
        <w:tc>
          <w:tcPr>
            <w:tcW w:w="737" w:type="dxa"/>
            <w:tcBorders>
              <w:top w:val="single" w:sz="4" w:space="0" w:color="auto"/>
              <w:left w:val="doub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podbudowy</w:t>
            </w:r>
          </w:p>
        </w:tc>
        <w:tc>
          <w:tcPr>
            <w:tcW w:w="737" w:type="dxa"/>
            <w:tcBorders>
              <w:top w:val="single" w:sz="4" w:space="0" w:color="auto"/>
              <w:left w:val="sing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wiążąca</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rsidR="00EB0210" w:rsidRPr="00EB0210" w:rsidRDefault="00EB0210" w:rsidP="009120FA">
            <w:pPr>
              <w:ind w:left="113" w:right="113"/>
              <w:jc w:val="center"/>
              <w:rPr>
                <w:rFonts w:ascii="Times New Roman" w:hAnsi="Times New Roman" w:cs="Times New Roman"/>
                <w:sz w:val="24"/>
                <w:szCs w:val="24"/>
              </w:rPr>
            </w:pPr>
            <w:r w:rsidRPr="00EB0210">
              <w:rPr>
                <w:rFonts w:ascii="Times New Roman" w:hAnsi="Times New Roman" w:cs="Times New Roman"/>
                <w:sz w:val="24"/>
                <w:szCs w:val="24"/>
              </w:rPr>
              <w:t>warstwa ścieralna</w:t>
            </w:r>
          </w:p>
        </w:tc>
      </w:tr>
      <w:tr w:rsidR="00EB0210" w:rsidRPr="00EB0210" w:rsidTr="009120FA">
        <w:trPr>
          <w:cantSplit/>
          <w:trHeight w:val="174"/>
        </w:trPr>
        <w:tc>
          <w:tcPr>
            <w:tcW w:w="765" w:type="dxa"/>
            <w:tcBorders>
              <w:top w:val="single" w:sz="4" w:space="0" w:color="auto"/>
              <w:left w:val="single" w:sz="4" w:space="0" w:color="auto"/>
              <w:bottom w:val="double" w:sz="4" w:space="0" w:color="auto"/>
              <w:right w:val="doub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1</w:t>
            </w:r>
          </w:p>
        </w:tc>
        <w:tc>
          <w:tcPr>
            <w:tcW w:w="737" w:type="dxa"/>
            <w:tcBorders>
              <w:top w:val="single" w:sz="4" w:space="0" w:color="auto"/>
              <w:left w:val="doub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2</w:t>
            </w:r>
          </w:p>
        </w:tc>
        <w:tc>
          <w:tcPr>
            <w:tcW w:w="737" w:type="dxa"/>
            <w:tcBorders>
              <w:top w:val="single" w:sz="4" w:space="0" w:color="auto"/>
              <w:left w:val="sing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3</w:t>
            </w:r>
          </w:p>
        </w:tc>
        <w:tc>
          <w:tcPr>
            <w:tcW w:w="737" w:type="dxa"/>
            <w:tcBorders>
              <w:top w:val="single" w:sz="4" w:space="0" w:color="auto"/>
              <w:left w:val="single" w:sz="4" w:space="0" w:color="auto"/>
              <w:bottom w:val="double" w:sz="4" w:space="0" w:color="auto"/>
              <w:right w:val="doub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4</w:t>
            </w:r>
          </w:p>
        </w:tc>
        <w:tc>
          <w:tcPr>
            <w:tcW w:w="737" w:type="dxa"/>
            <w:tcBorders>
              <w:top w:val="single" w:sz="4" w:space="0" w:color="auto"/>
              <w:left w:val="doub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5</w:t>
            </w:r>
          </w:p>
        </w:tc>
        <w:tc>
          <w:tcPr>
            <w:tcW w:w="737" w:type="dxa"/>
            <w:tcBorders>
              <w:top w:val="single" w:sz="4" w:space="0" w:color="auto"/>
              <w:left w:val="sing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6</w:t>
            </w:r>
          </w:p>
        </w:tc>
        <w:tc>
          <w:tcPr>
            <w:tcW w:w="737" w:type="dxa"/>
            <w:tcBorders>
              <w:top w:val="single" w:sz="4" w:space="0" w:color="auto"/>
              <w:left w:val="single" w:sz="4" w:space="0" w:color="auto"/>
              <w:bottom w:val="double" w:sz="4" w:space="0" w:color="auto"/>
              <w:right w:val="doub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7</w:t>
            </w:r>
          </w:p>
        </w:tc>
        <w:tc>
          <w:tcPr>
            <w:tcW w:w="737" w:type="dxa"/>
            <w:tcBorders>
              <w:top w:val="single" w:sz="4" w:space="0" w:color="auto"/>
              <w:left w:val="doub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8</w:t>
            </w:r>
          </w:p>
        </w:tc>
        <w:tc>
          <w:tcPr>
            <w:tcW w:w="737" w:type="dxa"/>
            <w:tcBorders>
              <w:top w:val="single" w:sz="4" w:space="0" w:color="auto"/>
              <w:left w:val="sing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9</w:t>
            </w:r>
          </w:p>
        </w:tc>
        <w:tc>
          <w:tcPr>
            <w:tcW w:w="737" w:type="dxa"/>
            <w:tcBorders>
              <w:top w:val="single" w:sz="4" w:space="0" w:color="auto"/>
              <w:left w:val="single" w:sz="4" w:space="0" w:color="auto"/>
              <w:bottom w:val="double" w:sz="4" w:space="0" w:color="auto"/>
              <w:right w:val="doub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10</w:t>
            </w:r>
          </w:p>
        </w:tc>
        <w:tc>
          <w:tcPr>
            <w:tcW w:w="737" w:type="dxa"/>
            <w:tcBorders>
              <w:top w:val="single" w:sz="4" w:space="0" w:color="auto"/>
              <w:left w:val="doub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11</w:t>
            </w:r>
          </w:p>
        </w:tc>
        <w:tc>
          <w:tcPr>
            <w:tcW w:w="737" w:type="dxa"/>
            <w:tcBorders>
              <w:top w:val="single" w:sz="4" w:space="0" w:color="auto"/>
              <w:left w:val="sing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12</w:t>
            </w:r>
          </w:p>
        </w:tc>
        <w:tc>
          <w:tcPr>
            <w:tcW w:w="740" w:type="dxa"/>
            <w:tcBorders>
              <w:top w:val="single" w:sz="4" w:space="0" w:color="auto"/>
              <w:left w:val="single" w:sz="4" w:space="0" w:color="auto"/>
              <w:bottom w:val="double" w:sz="4" w:space="0" w:color="auto"/>
              <w:right w:val="single" w:sz="4" w:space="0" w:color="auto"/>
            </w:tcBorders>
            <w:hideMark/>
          </w:tcPr>
          <w:p w:rsidR="00EB0210" w:rsidRPr="00EB0210" w:rsidRDefault="00EB0210" w:rsidP="009120FA">
            <w:pPr>
              <w:jc w:val="center"/>
              <w:rPr>
                <w:rFonts w:ascii="Times New Roman" w:hAnsi="Times New Roman" w:cs="Times New Roman"/>
                <w:sz w:val="24"/>
                <w:szCs w:val="24"/>
              </w:rPr>
            </w:pPr>
            <w:r w:rsidRPr="00EB0210">
              <w:rPr>
                <w:rFonts w:ascii="Times New Roman" w:hAnsi="Times New Roman" w:cs="Times New Roman"/>
                <w:sz w:val="24"/>
                <w:szCs w:val="24"/>
              </w:rPr>
              <w:t>13</w:t>
            </w:r>
          </w:p>
        </w:tc>
      </w:tr>
      <w:tr w:rsidR="00EB0210" w:rsidRPr="00EB0210" w:rsidTr="009120FA">
        <w:trPr>
          <w:trHeight w:val="271"/>
        </w:trPr>
        <w:tc>
          <w:tcPr>
            <w:tcW w:w="765" w:type="dxa"/>
            <w:tcBorders>
              <w:top w:val="single" w:sz="4" w:space="0" w:color="auto"/>
              <w:left w:val="single" w:sz="4" w:space="0" w:color="auto"/>
              <w:bottom w:val="single" w:sz="4" w:space="0" w:color="auto"/>
              <w:right w:val="double" w:sz="4" w:space="0" w:color="auto"/>
            </w:tcBorders>
            <w:hideMark/>
          </w:tcPr>
          <w:p w:rsidR="00EB0210" w:rsidRPr="00EB0210" w:rsidRDefault="00EB0210" w:rsidP="009120FA">
            <w:pPr>
              <w:jc w:val="center"/>
              <w:rPr>
                <w:rFonts w:ascii="Times New Roman" w:hAnsi="Times New Roman" w:cs="Times New Roman"/>
                <w:b/>
                <w:bCs/>
                <w:sz w:val="24"/>
                <w:szCs w:val="24"/>
              </w:rPr>
            </w:pPr>
            <w:r w:rsidRPr="00EB0210">
              <w:rPr>
                <w:rFonts w:ascii="Times New Roman" w:hAnsi="Times New Roman" w:cs="Times New Roman"/>
                <w:b/>
                <w:bCs/>
                <w:sz w:val="24"/>
                <w:szCs w:val="24"/>
              </w:rPr>
              <w:t>KR-3</w:t>
            </w:r>
          </w:p>
        </w:tc>
        <w:tc>
          <w:tcPr>
            <w:tcW w:w="737" w:type="dxa"/>
            <w:tcBorders>
              <w:top w:val="single" w:sz="4" w:space="0" w:color="auto"/>
              <w:left w:val="doub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sz w:val="24"/>
                <w:szCs w:val="24"/>
              </w:rPr>
            </w:pPr>
            <w:r w:rsidRPr="00EB0210">
              <w:rPr>
                <w:rFonts w:ascii="Times New Roman" w:hAnsi="Times New Roman" w:cs="Times New Roman"/>
                <w:sz w:val="24"/>
                <w:szCs w:val="24"/>
              </w:rPr>
              <w:t>tak</w:t>
            </w:r>
          </w:p>
        </w:tc>
        <w:tc>
          <w:tcPr>
            <w:tcW w:w="737" w:type="dxa"/>
            <w:tcBorders>
              <w:top w:val="single" w:sz="4" w:space="0" w:color="auto"/>
              <w:left w:val="sing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sz w:val="24"/>
                <w:szCs w:val="24"/>
              </w:rPr>
            </w:pPr>
            <w:r w:rsidRPr="00EB0210">
              <w:rPr>
                <w:rFonts w:ascii="Times New Roman" w:hAnsi="Times New Roman" w:cs="Times New Roman"/>
                <w:sz w:val="24"/>
                <w:szCs w:val="24"/>
              </w:rPr>
              <w:t xml:space="preserve"> </w:t>
            </w:r>
          </w:p>
        </w:tc>
        <w:tc>
          <w:tcPr>
            <w:tcW w:w="737" w:type="dxa"/>
            <w:tcBorders>
              <w:top w:val="single" w:sz="4" w:space="0" w:color="auto"/>
              <w:left w:val="single" w:sz="4" w:space="0" w:color="auto"/>
              <w:bottom w:val="single" w:sz="4" w:space="0" w:color="auto"/>
              <w:right w:val="double" w:sz="4" w:space="0" w:color="auto"/>
            </w:tcBorders>
            <w:hideMark/>
          </w:tcPr>
          <w:p w:rsidR="00EB0210" w:rsidRPr="00EB0210" w:rsidRDefault="00EB0210" w:rsidP="00D04C12">
            <w:pPr>
              <w:spacing w:after="0" w:line="240" w:lineRule="auto"/>
              <w:jc w:val="center"/>
              <w:rPr>
                <w:rFonts w:ascii="Times New Roman" w:hAnsi="Times New Roman" w:cs="Times New Roman"/>
                <w:sz w:val="24"/>
                <w:szCs w:val="24"/>
              </w:rPr>
            </w:pPr>
            <w:r w:rsidRPr="00EB0210">
              <w:rPr>
                <w:rFonts w:ascii="Times New Roman" w:hAnsi="Times New Roman" w:cs="Times New Roman"/>
                <w:sz w:val="24"/>
                <w:szCs w:val="24"/>
              </w:rPr>
              <w:t xml:space="preserve"> </w:t>
            </w:r>
          </w:p>
        </w:tc>
        <w:tc>
          <w:tcPr>
            <w:tcW w:w="737" w:type="dxa"/>
            <w:tcBorders>
              <w:top w:val="single" w:sz="4" w:space="0" w:color="auto"/>
              <w:left w:val="doub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sz w:val="24"/>
                <w:szCs w:val="24"/>
              </w:rPr>
            </w:pPr>
            <w:r w:rsidRPr="00EB0210">
              <w:rPr>
                <w:rFonts w:ascii="Times New Roman" w:hAnsi="Times New Roman" w:cs="Times New Roman"/>
                <w:sz w:val="24"/>
                <w:szCs w:val="24"/>
              </w:rPr>
              <w:t>tak</w:t>
            </w:r>
          </w:p>
        </w:tc>
        <w:tc>
          <w:tcPr>
            <w:tcW w:w="737" w:type="dxa"/>
            <w:tcBorders>
              <w:top w:val="single" w:sz="4" w:space="0" w:color="auto"/>
              <w:left w:val="sing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b/>
                <w:bCs/>
                <w:color w:val="FF0000"/>
                <w:sz w:val="24"/>
                <w:szCs w:val="24"/>
              </w:rPr>
            </w:pPr>
            <w:r w:rsidRPr="00EB0210">
              <w:rPr>
                <w:rFonts w:ascii="Times New Roman" w:hAnsi="Times New Roman" w:cs="Times New Roman"/>
                <w:b/>
                <w:bCs/>
                <w:color w:val="FF0000"/>
                <w:sz w:val="24"/>
                <w:szCs w:val="24"/>
              </w:rPr>
              <w:t xml:space="preserve"> </w:t>
            </w:r>
          </w:p>
        </w:tc>
        <w:tc>
          <w:tcPr>
            <w:tcW w:w="737" w:type="dxa"/>
            <w:tcBorders>
              <w:top w:val="single" w:sz="4" w:space="0" w:color="auto"/>
              <w:left w:val="single" w:sz="4" w:space="0" w:color="auto"/>
              <w:bottom w:val="single" w:sz="4" w:space="0" w:color="auto"/>
              <w:right w:val="double" w:sz="4" w:space="0" w:color="auto"/>
            </w:tcBorders>
            <w:hideMark/>
          </w:tcPr>
          <w:p w:rsidR="00EB0210" w:rsidRPr="00EB0210" w:rsidRDefault="00EB0210" w:rsidP="00D04C12">
            <w:pPr>
              <w:spacing w:after="0" w:line="240" w:lineRule="auto"/>
              <w:jc w:val="center"/>
              <w:rPr>
                <w:rFonts w:ascii="Times New Roman" w:hAnsi="Times New Roman" w:cs="Times New Roman"/>
                <w:b/>
                <w:bCs/>
                <w:color w:val="FF0000"/>
                <w:sz w:val="24"/>
                <w:szCs w:val="24"/>
              </w:rPr>
            </w:pPr>
            <w:r w:rsidRPr="00EB0210">
              <w:rPr>
                <w:rFonts w:ascii="Times New Roman" w:hAnsi="Times New Roman" w:cs="Times New Roman"/>
                <w:b/>
                <w:bCs/>
                <w:color w:val="FF0000"/>
                <w:sz w:val="24"/>
                <w:szCs w:val="24"/>
              </w:rPr>
              <w:t xml:space="preserve"> </w:t>
            </w:r>
          </w:p>
        </w:tc>
        <w:tc>
          <w:tcPr>
            <w:tcW w:w="737" w:type="dxa"/>
            <w:tcBorders>
              <w:top w:val="single" w:sz="4" w:space="0" w:color="auto"/>
              <w:left w:val="doub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sz w:val="24"/>
                <w:szCs w:val="24"/>
              </w:rPr>
            </w:pPr>
            <w:r w:rsidRPr="00EB0210">
              <w:rPr>
                <w:rFonts w:ascii="Times New Roman" w:hAnsi="Times New Roman" w:cs="Times New Roman"/>
                <w:sz w:val="24"/>
                <w:szCs w:val="24"/>
              </w:rPr>
              <w:t>tak</w:t>
            </w:r>
          </w:p>
        </w:tc>
        <w:tc>
          <w:tcPr>
            <w:tcW w:w="737" w:type="dxa"/>
            <w:tcBorders>
              <w:top w:val="single" w:sz="4" w:space="0" w:color="auto"/>
              <w:left w:val="sing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b/>
                <w:bCs/>
                <w:color w:val="FF0000"/>
                <w:sz w:val="24"/>
                <w:szCs w:val="24"/>
              </w:rPr>
            </w:pPr>
            <w:r w:rsidRPr="00EB0210">
              <w:rPr>
                <w:rFonts w:ascii="Times New Roman" w:hAnsi="Times New Roman" w:cs="Times New Roman"/>
                <w:b/>
                <w:bCs/>
                <w:color w:val="FF0000"/>
                <w:sz w:val="24"/>
                <w:szCs w:val="24"/>
              </w:rPr>
              <w:t xml:space="preserve"> </w:t>
            </w:r>
          </w:p>
        </w:tc>
        <w:tc>
          <w:tcPr>
            <w:tcW w:w="737" w:type="dxa"/>
            <w:tcBorders>
              <w:top w:val="single" w:sz="4" w:space="0" w:color="auto"/>
              <w:left w:val="single" w:sz="4" w:space="0" w:color="auto"/>
              <w:bottom w:val="single" w:sz="4" w:space="0" w:color="auto"/>
              <w:right w:val="double" w:sz="4" w:space="0" w:color="auto"/>
            </w:tcBorders>
            <w:hideMark/>
          </w:tcPr>
          <w:p w:rsidR="00EB0210" w:rsidRPr="00EB0210" w:rsidRDefault="00EB0210" w:rsidP="00D04C12">
            <w:pPr>
              <w:spacing w:after="0" w:line="240" w:lineRule="auto"/>
              <w:jc w:val="center"/>
              <w:rPr>
                <w:rFonts w:ascii="Times New Roman" w:hAnsi="Times New Roman" w:cs="Times New Roman"/>
                <w:b/>
                <w:bCs/>
                <w:color w:val="FF0000"/>
                <w:sz w:val="24"/>
                <w:szCs w:val="24"/>
              </w:rPr>
            </w:pPr>
            <w:r w:rsidRPr="00EB0210">
              <w:rPr>
                <w:rFonts w:ascii="Times New Roman" w:hAnsi="Times New Roman" w:cs="Times New Roman"/>
                <w:b/>
                <w:bCs/>
                <w:color w:val="FF0000"/>
                <w:sz w:val="24"/>
                <w:szCs w:val="24"/>
              </w:rPr>
              <w:t xml:space="preserve">  </w:t>
            </w:r>
          </w:p>
        </w:tc>
        <w:tc>
          <w:tcPr>
            <w:tcW w:w="737" w:type="dxa"/>
            <w:tcBorders>
              <w:top w:val="single" w:sz="4" w:space="0" w:color="auto"/>
              <w:left w:val="doub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sz w:val="24"/>
                <w:szCs w:val="24"/>
              </w:rPr>
            </w:pPr>
            <w:r w:rsidRPr="00EB0210">
              <w:rPr>
                <w:rFonts w:ascii="Times New Roman" w:hAnsi="Times New Roman" w:cs="Times New Roman"/>
                <w:sz w:val="24"/>
                <w:szCs w:val="24"/>
              </w:rPr>
              <w:t>tak</w:t>
            </w:r>
          </w:p>
        </w:tc>
        <w:tc>
          <w:tcPr>
            <w:tcW w:w="737" w:type="dxa"/>
            <w:tcBorders>
              <w:top w:val="single" w:sz="4" w:space="0" w:color="auto"/>
              <w:left w:val="sing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b/>
                <w:bCs/>
                <w:color w:val="FF0000"/>
                <w:sz w:val="24"/>
                <w:szCs w:val="24"/>
              </w:rPr>
            </w:pPr>
            <w:r w:rsidRPr="00EB0210">
              <w:rPr>
                <w:rFonts w:ascii="Times New Roman" w:hAnsi="Times New Roman" w:cs="Times New Roman"/>
                <w:b/>
                <w:bCs/>
                <w:color w:val="FF0000"/>
                <w:sz w:val="24"/>
                <w:szCs w:val="24"/>
              </w:rPr>
              <w:t xml:space="preserve"> </w:t>
            </w:r>
          </w:p>
        </w:tc>
        <w:tc>
          <w:tcPr>
            <w:tcW w:w="740" w:type="dxa"/>
            <w:tcBorders>
              <w:top w:val="single" w:sz="4" w:space="0" w:color="auto"/>
              <w:left w:val="single" w:sz="4" w:space="0" w:color="auto"/>
              <w:bottom w:val="single" w:sz="4" w:space="0" w:color="auto"/>
              <w:right w:val="single" w:sz="4" w:space="0" w:color="auto"/>
            </w:tcBorders>
            <w:hideMark/>
          </w:tcPr>
          <w:p w:rsidR="00EB0210" w:rsidRPr="00EB0210" w:rsidRDefault="00EB0210" w:rsidP="00D04C12">
            <w:pPr>
              <w:spacing w:after="0" w:line="240" w:lineRule="auto"/>
              <w:jc w:val="center"/>
              <w:rPr>
                <w:rFonts w:ascii="Times New Roman" w:hAnsi="Times New Roman" w:cs="Times New Roman"/>
                <w:b/>
                <w:bCs/>
                <w:color w:val="FF0000"/>
                <w:sz w:val="24"/>
                <w:szCs w:val="24"/>
              </w:rPr>
            </w:pPr>
            <w:r w:rsidRPr="00EB0210">
              <w:rPr>
                <w:rFonts w:ascii="Times New Roman" w:hAnsi="Times New Roman" w:cs="Times New Roman"/>
                <w:b/>
                <w:bCs/>
                <w:color w:val="FF0000"/>
                <w:sz w:val="24"/>
                <w:szCs w:val="24"/>
              </w:rPr>
              <w:t xml:space="preserve"> </w:t>
            </w:r>
          </w:p>
        </w:tc>
      </w:tr>
    </w:tbl>
    <w:p w:rsidR="00EB0210" w:rsidRPr="00EB0210" w:rsidRDefault="00EB0210" w:rsidP="00CE783F">
      <w:pPr>
        <w:pStyle w:val="Tekstpodstawowy"/>
        <w:spacing w:line="240" w:lineRule="auto"/>
        <w:contextualSpacing/>
      </w:pPr>
      <w:r w:rsidRPr="00EB0210">
        <w:t>W każdym przypadku dla kruszyw wymienionych w tabeli Nr 1</w:t>
      </w:r>
      <w:r>
        <w:t>0a</w:t>
      </w:r>
      <w:r w:rsidRPr="00EB0210">
        <w:t xml:space="preserve">, kolumny 5 </w:t>
      </w:r>
      <w:r w:rsidRPr="00EB0210">
        <w:sym w:font="Symbol" w:char="00B8"/>
      </w:r>
      <w:r w:rsidRPr="00EB0210">
        <w:t xml:space="preserve"> 13, stosowanie środka adhezyjnego jest obligatoryjne.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2.5. Środek adhezyjny</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[38], metoda C wynosiła co najmniej 80%.</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Środek adhezyjny powinien odpowiadać wymaganiom określonym przez producenta.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Składowanie środka adhezyjnego jest dozwolone tylko w oryginalnych opakowaniach, w warunkach określonych przez producenta.</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2.6. Granulat asfaltowy</w:t>
      </w:r>
    </w:p>
    <w:p w:rsidR="005924B0" w:rsidRPr="005924B0" w:rsidRDefault="005924B0" w:rsidP="005924B0">
      <w:pPr>
        <w:overflowPunct w:val="0"/>
        <w:autoSpaceDE w:val="0"/>
        <w:autoSpaceDN w:val="0"/>
        <w:spacing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2.6.1.</w:t>
      </w:r>
      <w:r w:rsidRPr="005924B0">
        <w:rPr>
          <w:rFonts w:ascii="Times New Roman" w:eastAsiaTheme="minorEastAsia" w:hAnsi="Times New Roman" w:cs="Times New Roman"/>
          <w:sz w:val="24"/>
          <w:szCs w:val="24"/>
          <w:lang w:eastAsia="pl-PL"/>
        </w:rPr>
        <w:t xml:space="preserve"> Właściwości granulatu asfaltowego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Granulat asfaltowy powinien spełniać wymagania podane w tablicy 11.</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11. Wymagania dotyczące granulatu asfaltowego</w:t>
      </w:r>
    </w:p>
    <w:tbl>
      <w:tblPr>
        <w:tblW w:w="0" w:type="auto"/>
        <w:tblCellMar>
          <w:left w:w="0" w:type="dxa"/>
          <w:right w:w="0" w:type="dxa"/>
        </w:tblCellMar>
        <w:tblLook w:val="04A0" w:firstRow="1" w:lastRow="0" w:firstColumn="1" w:lastColumn="0" w:noHBand="0" w:noVBand="1"/>
      </w:tblPr>
      <w:tblGrid>
        <w:gridCol w:w="2628"/>
        <w:gridCol w:w="741"/>
        <w:gridCol w:w="5499"/>
      </w:tblGrid>
      <w:tr w:rsidR="005924B0" w:rsidRPr="005924B0" w:rsidTr="005924B0">
        <w:tc>
          <w:tcPr>
            <w:tcW w:w="3369"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Wymagania</w:t>
            </w:r>
          </w:p>
        </w:tc>
        <w:tc>
          <w:tcPr>
            <w:tcW w:w="5499"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Podbudowa </w:t>
            </w:r>
          </w:p>
        </w:tc>
      </w:tr>
      <w:tr w:rsidR="005924B0" w:rsidRPr="005924B0" w:rsidTr="005924B0">
        <w:tc>
          <w:tcPr>
            <w:tcW w:w="3369"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minerałów obcych</w:t>
            </w:r>
          </w:p>
        </w:tc>
        <w:tc>
          <w:tcPr>
            <w:tcW w:w="549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Kategoria FM</w:t>
            </w:r>
            <w:r w:rsidRPr="005924B0">
              <w:rPr>
                <w:rFonts w:ascii="Times New Roman" w:eastAsiaTheme="minorEastAsia" w:hAnsi="Times New Roman" w:cs="Times New Roman"/>
                <w:sz w:val="24"/>
                <w:szCs w:val="24"/>
                <w:vertAlign w:val="subscript"/>
                <w:lang w:eastAsia="pl-PL"/>
              </w:rPr>
              <w:t>1/01</w:t>
            </w:r>
          </w:p>
        </w:tc>
      </w:tr>
      <w:tr w:rsidR="005924B0" w:rsidRPr="005924B0" w:rsidTr="005924B0">
        <w:tc>
          <w:tcPr>
            <w:tcW w:w="2628"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lepiszcza odzyskanego w granulacie asfaltowym</w:t>
            </w:r>
            <w:r w:rsidRPr="005924B0">
              <w:rPr>
                <w:rFonts w:ascii="Times New Roman" w:eastAsiaTheme="minorEastAsia" w:hAnsi="Times New Roman" w:cs="Times New Roman"/>
                <w:sz w:val="24"/>
                <w:szCs w:val="24"/>
                <w:vertAlign w:val="superscript"/>
                <w:lang w:eastAsia="pl-PL"/>
              </w:rPr>
              <w:t>a)</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PIK</w:t>
            </w:r>
          </w:p>
        </w:tc>
        <w:tc>
          <w:tcPr>
            <w:tcW w:w="549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Kategoria S</w:t>
            </w:r>
            <w:r w:rsidRPr="005924B0">
              <w:rPr>
                <w:rFonts w:ascii="Times New Roman" w:eastAsiaTheme="minorEastAsia" w:hAnsi="Times New Roman" w:cs="Times New Roman"/>
                <w:sz w:val="24"/>
                <w:szCs w:val="24"/>
                <w:vertAlign w:val="subscript"/>
                <w:lang w:eastAsia="pl-PL"/>
              </w:rPr>
              <w:t>70</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Wartość średnia temperatury mięknienia nie może być wyższa niż 70°C. Pojedyncze wartości temperatury mięknienia nie mogą przekraczać 77°C</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74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Pen.</w:t>
            </w:r>
          </w:p>
        </w:tc>
        <w:tc>
          <w:tcPr>
            <w:tcW w:w="549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Kategoria P</w:t>
            </w:r>
            <w:r w:rsidRPr="005924B0">
              <w:rPr>
                <w:rFonts w:ascii="Times New Roman" w:eastAsiaTheme="minorEastAsia" w:hAnsi="Times New Roman" w:cs="Times New Roman"/>
                <w:sz w:val="24"/>
                <w:szCs w:val="24"/>
                <w:vertAlign w:val="subscript"/>
                <w:lang w:eastAsia="pl-PL"/>
              </w:rPr>
              <w:t>15</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Wartość średnia nie może być mniejsza niż 15×0,1 mm. Pojedyncze wartości penetracji nie mogą być mniejsze niż 10×0,1 mm</w:t>
            </w:r>
          </w:p>
        </w:tc>
      </w:tr>
      <w:tr w:rsidR="005924B0" w:rsidRPr="005924B0" w:rsidTr="005924B0">
        <w:tc>
          <w:tcPr>
            <w:tcW w:w="3369"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Jednorodność</w:t>
            </w:r>
          </w:p>
        </w:tc>
        <w:tc>
          <w:tcPr>
            <w:tcW w:w="549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Wg tablicy 13</w:t>
            </w:r>
          </w:p>
        </w:tc>
      </w:tr>
      <w:tr w:rsidR="005924B0" w:rsidRPr="005924B0" w:rsidTr="005924B0">
        <w:tc>
          <w:tcPr>
            <w:tcW w:w="8868" w:type="dxa"/>
            <w:gridSpan w:val="3"/>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227" w:hanging="22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a) do sklasyfikowania lepiszcza odzyskanego w granulacie asfaltowym wystarcza oznaczenie temperatury mięknienia PiK. Tylko w szczególnych przypadkach należy </w:t>
            </w:r>
            <w:r w:rsidRPr="005924B0">
              <w:rPr>
                <w:rFonts w:ascii="Times New Roman" w:eastAsiaTheme="minorEastAsia" w:hAnsi="Times New Roman" w:cs="Times New Roman"/>
                <w:sz w:val="24"/>
                <w:szCs w:val="24"/>
                <w:lang w:eastAsia="pl-PL"/>
              </w:rPr>
              <w:lastRenderedPageBreak/>
              <w:t>wykonać oznaczenie penetracji. Oceny właściwości lepiszcza należy dokonać wg pktu 4.2.2. normy PN-EN 13108-8 [53]</w:t>
            </w:r>
          </w:p>
        </w:tc>
      </w:tr>
    </w:tbl>
    <w:p w:rsidR="005924B0" w:rsidRPr="005924B0" w:rsidRDefault="005924B0" w:rsidP="005924B0">
      <w:pPr>
        <w:overflowPunct w:val="0"/>
        <w:autoSpaceDE w:val="0"/>
        <w:autoSpaceDN w:val="0"/>
        <w:spacing w:before="120"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Zawartość materiałów obcych w granulacie asfaltowym, oznaczona wg PN-EN 12697-42 [48</w:t>
      </w:r>
      <w:proofErr w:type="gramStart"/>
      <w:r w:rsidRPr="005924B0">
        <w:rPr>
          <w:rFonts w:ascii="Times New Roman" w:eastAsiaTheme="minorEastAsia" w:hAnsi="Times New Roman" w:cs="Times New Roman"/>
          <w:sz w:val="24"/>
          <w:szCs w:val="24"/>
          <w:lang w:eastAsia="pl-PL"/>
        </w:rPr>
        <w:t>],  powinna</w:t>
      </w:r>
      <w:proofErr w:type="gramEnd"/>
      <w:r w:rsidRPr="005924B0">
        <w:rPr>
          <w:rFonts w:ascii="Times New Roman" w:eastAsiaTheme="minorEastAsia" w:hAnsi="Times New Roman" w:cs="Times New Roman"/>
          <w:sz w:val="24"/>
          <w:szCs w:val="24"/>
          <w:lang w:eastAsia="pl-PL"/>
        </w:rPr>
        <w:t xml:space="preserve"> spełniać wymagania podane w tablicy 12. </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12. Zawartość materiałów obcych w granulacie asfaltowym</w:t>
      </w:r>
    </w:p>
    <w:tbl>
      <w:tblPr>
        <w:tblW w:w="0" w:type="auto"/>
        <w:tblCellMar>
          <w:left w:w="0" w:type="dxa"/>
          <w:right w:w="0" w:type="dxa"/>
        </w:tblCellMar>
        <w:tblLook w:val="04A0" w:firstRow="1" w:lastRow="0" w:firstColumn="1" w:lastColumn="0" w:noHBand="0" w:noVBand="1"/>
      </w:tblPr>
      <w:tblGrid>
        <w:gridCol w:w="2503"/>
        <w:gridCol w:w="2504"/>
        <w:gridCol w:w="2504"/>
      </w:tblGrid>
      <w:tr w:rsidR="005924B0" w:rsidRPr="005924B0" w:rsidTr="005924B0">
        <w:tc>
          <w:tcPr>
            <w:tcW w:w="5007"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Materiały obce</w:t>
            </w:r>
            <w:r w:rsidRPr="005924B0">
              <w:rPr>
                <w:rFonts w:ascii="Times New Roman" w:eastAsiaTheme="minorEastAsia" w:hAnsi="Times New Roman" w:cs="Times New Roman"/>
                <w:sz w:val="24"/>
                <w:szCs w:val="24"/>
                <w:vertAlign w:val="superscript"/>
                <w:lang w:eastAsia="pl-PL"/>
              </w:rPr>
              <w:t>a)</w:t>
            </w:r>
          </w:p>
        </w:tc>
        <w:tc>
          <w:tcPr>
            <w:tcW w:w="250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Kategoria</w:t>
            </w:r>
          </w:p>
        </w:tc>
      </w:tr>
      <w:tr w:rsidR="005924B0" w:rsidRPr="005924B0" w:rsidTr="005924B0">
        <w:tc>
          <w:tcPr>
            <w:tcW w:w="250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Grupa 1</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[%(m/m)]</w:t>
            </w:r>
          </w:p>
        </w:tc>
        <w:tc>
          <w:tcPr>
            <w:tcW w:w="250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Grupa 2</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[%(m/m)]</w:t>
            </w:r>
          </w:p>
        </w:tc>
        <w:tc>
          <w:tcPr>
            <w:tcW w:w="250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PM</w:t>
            </w:r>
          </w:p>
        </w:tc>
      </w:tr>
      <w:tr w:rsidR="005924B0" w:rsidRPr="005924B0" w:rsidTr="005924B0">
        <w:tc>
          <w:tcPr>
            <w:tcW w:w="250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&lt;1</w:t>
            </w:r>
          </w:p>
        </w:tc>
        <w:tc>
          <w:tcPr>
            <w:tcW w:w="250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&lt;0,1</w:t>
            </w:r>
          </w:p>
        </w:tc>
        <w:tc>
          <w:tcPr>
            <w:tcW w:w="250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PM</w:t>
            </w:r>
            <w:r w:rsidRPr="005924B0">
              <w:rPr>
                <w:rFonts w:ascii="Times New Roman" w:eastAsiaTheme="minorEastAsia" w:hAnsi="Times New Roman" w:cs="Times New Roman"/>
                <w:sz w:val="24"/>
                <w:szCs w:val="24"/>
                <w:vertAlign w:val="subscript"/>
                <w:lang w:eastAsia="pl-PL"/>
              </w:rPr>
              <w:t>1/0,1</w:t>
            </w:r>
          </w:p>
        </w:tc>
      </w:tr>
      <w:tr w:rsidR="005924B0" w:rsidRPr="005924B0" w:rsidTr="005924B0">
        <w:tc>
          <w:tcPr>
            <w:tcW w:w="250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&lt;5</w:t>
            </w:r>
          </w:p>
        </w:tc>
        <w:tc>
          <w:tcPr>
            <w:tcW w:w="250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&lt;0,1</w:t>
            </w:r>
          </w:p>
        </w:tc>
        <w:tc>
          <w:tcPr>
            <w:tcW w:w="250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PM</w:t>
            </w:r>
            <w:r w:rsidRPr="005924B0">
              <w:rPr>
                <w:rFonts w:ascii="Times New Roman" w:eastAsiaTheme="minorEastAsia" w:hAnsi="Times New Roman" w:cs="Times New Roman"/>
                <w:sz w:val="24"/>
                <w:szCs w:val="24"/>
                <w:vertAlign w:val="subscript"/>
                <w:lang w:eastAsia="pl-PL"/>
              </w:rPr>
              <w:t>5/0,1</w:t>
            </w:r>
          </w:p>
        </w:tc>
      </w:tr>
      <w:tr w:rsidR="005924B0" w:rsidRPr="005924B0" w:rsidTr="005924B0">
        <w:tc>
          <w:tcPr>
            <w:tcW w:w="250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&gt;5</w:t>
            </w:r>
          </w:p>
        </w:tc>
        <w:tc>
          <w:tcPr>
            <w:tcW w:w="250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&gt;0,1</w:t>
            </w:r>
          </w:p>
        </w:tc>
        <w:tc>
          <w:tcPr>
            <w:tcW w:w="250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PM</w:t>
            </w:r>
            <w:r w:rsidRPr="005924B0">
              <w:rPr>
                <w:rFonts w:ascii="Times New Roman" w:eastAsiaTheme="minorEastAsia" w:hAnsi="Times New Roman" w:cs="Times New Roman"/>
                <w:sz w:val="24"/>
                <w:szCs w:val="24"/>
                <w:vertAlign w:val="subscript"/>
                <w:lang w:eastAsia="pl-PL"/>
              </w:rPr>
              <w:t>dec</w:t>
            </w:r>
          </w:p>
        </w:tc>
      </w:tr>
      <w:tr w:rsidR="005924B0" w:rsidRPr="005924B0" w:rsidTr="005924B0">
        <w:tc>
          <w:tcPr>
            <w:tcW w:w="7511" w:type="dxa"/>
            <w:gridSpan w:val="3"/>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 materiały obce grupy 1 i 2 zgodnie z pkt.4.1. normy PN-EN 13108-8 [53]</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Wymiar D kruszywa zawartego w granulacie asfaltowym nie może być większy od wymiaru D mieszanki mineralnej wchodzącej w skład mieszanki mineralno-asfaltowej.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 obliczania temperatury mięknienia mieszaniny lepiszcza z granulatu asfaltowego i dodanego asfaltu należy, zgodnie z PN-EN 13108-1[51], załącznik </w:t>
      </w:r>
      <w:proofErr w:type="gramStart"/>
      <w:r w:rsidRPr="005924B0">
        <w:rPr>
          <w:rFonts w:ascii="Times New Roman" w:eastAsiaTheme="minorEastAsia" w:hAnsi="Times New Roman" w:cs="Times New Roman"/>
          <w:sz w:val="24"/>
          <w:szCs w:val="24"/>
          <w:lang w:eastAsia="pl-PL"/>
        </w:rPr>
        <w:t>a,  pkt</w:t>
      </w:r>
      <w:proofErr w:type="gramEnd"/>
      <w:r w:rsidRPr="005924B0">
        <w:rPr>
          <w:rFonts w:ascii="Times New Roman" w:eastAsiaTheme="minorEastAsia" w:hAnsi="Times New Roman" w:cs="Times New Roman"/>
          <w:sz w:val="24"/>
          <w:szCs w:val="24"/>
          <w:lang w:eastAsia="pl-PL"/>
        </w:rPr>
        <w:t xml:space="preserve"> A.3,  stosować następujące równanie:</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w:t>
      </w:r>
      <w:r w:rsidRPr="005924B0">
        <w:rPr>
          <w:rFonts w:ascii="Times New Roman" w:eastAsiaTheme="minorEastAsia" w:hAnsi="Times New Roman" w:cs="Times New Roman"/>
          <w:sz w:val="24"/>
          <w:szCs w:val="24"/>
          <w:vertAlign w:val="subscript"/>
          <w:lang w:eastAsia="pl-PL"/>
        </w:rPr>
        <w:t xml:space="preserve">PiKmix </w:t>
      </w:r>
      <w:r w:rsidRPr="005924B0">
        <w:rPr>
          <w:rFonts w:ascii="Times New Roman" w:eastAsiaTheme="minorEastAsia" w:hAnsi="Times New Roman" w:cs="Times New Roman"/>
          <w:sz w:val="24"/>
          <w:szCs w:val="24"/>
          <w:lang w:eastAsia="pl-PL"/>
        </w:rPr>
        <w:t>= α · T</w:t>
      </w:r>
      <w:r w:rsidRPr="005924B0">
        <w:rPr>
          <w:rFonts w:ascii="Times New Roman" w:eastAsiaTheme="minorEastAsia" w:hAnsi="Times New Roman" w:cs="Times New Roman"/>
          <w:sz w:val="24"/>
          <w:szCs w:val="24"/>
          <w:vertAlign w:val="subscript"/>
          <w:lang w:eastAsia="pl-PL"/>
        </w:rPr>
        <w:t xml:space="preserve">PiK1 </w:t>
      </w:r>
      <w:r w:rsidRPr="005924B0">
        <w:rPr>
          <w:rFonts w:ascii="Times New Roman" w:eastAsiaTheme="minorEastAsia" w:hAnsi="Times New Roman" w:cs="Times New Roman"/>
          <w:sz w:val="24"/>
          <w:szCs w:val="24"/>
          <w:lang w:eastAsia="pl-PL"/>
        </w:rPr>
        <w:t>+b · T</w:t>
      </w:r>
      <w:r w:rsidRPr="005924B0">
        <w:rPr>
          <w:rFonts w:ascii="Times New Roman" w:eastAsiaTheme="minorEastAsia" w:hAnsi="Times New Roman" w:cs="Times New Roman"/>
          <w:sz w:val="24"/>
          <w:szCs w:val="24"/>
          <w:vertAlign w:val="subscript"/>
          <w:lang w:eastAsia="pl-PL"/>
        </w:rPr>
        <w:t>PiK2</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którym:</w:t>
      </w:r>
    </w:p>
    <w:p w:rsidR="005924B0" w:rsidRPr="005924B0" w:rsidRDefault="005924B0" w:rsidP="005924B0">
      <w:pPr>
        <w:overflowPunct w:val="0"/>
        <w:autoSpaceDE w:val="0"/>
        <w:autoSpaceDN w:val="0"/>
        <w:spacing w:after="0" w:line="240" w:lineRule="auto"/>
        <w:ind w:left="960" w:hanging="960"/>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T</w:t>
      </w:r>
      <w:r w:rsidRPr="005924B0">
        <w:rPr>
          <w:rFonts w:ascii="Times New Roman" w:eastAsiaTheme="minorEastAsia" w:hAnsi="Times New Roman" w:cs="Times New Roman"/>
          <w:sz w:val="24"/>
          <w:szCs w:val="24"/>
          <w:vertAlign w:val="subscript"/>
          <w:lang w:eastAsia="pl-PL"/>
        </w:rPr>
        <w:t>PiKmix</w:t>
      </w:r>
      <w:r w:rsidRPr="005924B0">
        <w:rPr>
          <w:rFonts w:ascii="Times New Roman" w:eastAsiaTheme="minorEastAsia" w:hAnsi="Times New Roman" w:cs="Times New Roman"/>
          <w:sz w:val="24"/>
          <w:szCs w:val="24"/>
          <w:lang w:eastAsia="pl-PL"/>
        </w:rPr>
        <w:t>  -</w:t>
      </w:r>
      <w:proofErr w:type="gramEnd"/>
      <w:r w:rsidRPr="005924B0">
        <w:rPr>
          <w:rFonts w:ascii="Times New Roman" w:eastAsiaTheme="minorEastAsia" w:hAnsi="Times New Roman" w:cs="Times New Roman"/>
          <w:sz w:val="24"/>
          <w:szCs w:val="24"/>
          <w:lang w:eastAsia="pl-PL"/>
        </w:rPr>
        <w:t xml:space="preserve"> temperatura mięknienia mieszanki lepiszczy w mieszance mineralno-asfaltowej z dodatkiem granulatu asfaltowego, [°C],</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w:t>
      </w:r>
      <w:r w:rsidRPr="005924B0">
        <w:rPr>
          <w:rFonts w:ascii="Times New Roman" w:eastAsiaTheme="minorEastAsia" w:hAnsi="Times New Roman" w:cs="Times New Roman"/>
          <w:sz w:val="24"/>
          <w:szCs w:val="24"/>
          <w:vertAlign w:val="subscript"/>
          <w:lang w:eastAsia="pl-PL"/>
        </w:rPr>
        <w:t xml:space="preserve">PiK1       </w:t>
      </w:r>
      <w:proofErr w:type="gramStart"/>
      <w:r w:rsidRPr="005924B0">
        <w:rPr>
          <w:rFonts w:ascii="Times New Roman" w:eastAsiaTheme="minorEastAsia" w:hAnsi="Times New Roman" w:cs="Times New Roman"/>
          <w:sz w:val="24"/>
          <w:szCs w:val="24"/>
          <w:lang w:eastAsia="pl-PL"/>
        </w:rPr>
        <w:t>-  temperatura</w:t>
      </w:r>
      <w:proofErr w:type="gramEnd"/>
      <w:r w:rsidRPr="005924B0">
        <w:rPr>
          <w:rFonts w:ascii="Times New Roman" w:eastAsiaTheme="minorEastAsia" w:hAnsi="Times New Roman" w:cs="Times New Roman"/>
          <w:sz w:val="24"/>
          <w:szCs w:val="24"/>
          <w:lang w:eastAsia="pl-PL"/>
        </w:rPr>
        <w:t xml:space="preserve"> mięknienia lepiszcza odzyskanego z granulatu asfaltowego, [°C],</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w:t>
      </w:r>
      <w:r w:rsidRPr="005924B0">
        <w:rPr>
          <w:rFonts w:ascii="Times New Roman" w:eastAsiaTheme="minorEastAsia" w:hAnsi="Times New Roman" w:cs="Times New Roman"/>
          <w:sz w:val="24"/>
          <w:szCs w:val="24"/>
          <w:vertAlign w:val="subscript"/>
          <w:lang w:eastAsia="pl-PL"/>
        </w:rPr>
        <w:t xml:space="preserve">PiK2        </w:t>
      </w:r>
      <w:proofErr w:type="gramStart"/>
      <w:r w:rsidRPr="005924B0">
        <w:rPr>
          <w:rFonts w:ascii="Times New Roman" w:eastAsiaTheme="minorEastAsia" w:hAnsi="Times New Roman" w:cs="Times New Roman"/>
          <w:sz w:val="24"/>
          <w:szCs w:val="24"/>
          <w:vertAlign w:val="subscript"/>
          <w:lang w:eastAsia="pl-PL"/>
        </w:rPr>
        <w:t xml:space="preserve">- </w:t>
      </w:r>
      <w:r w:rsidRPr="005924B0">
        <w:rPr>
          <w:rFonts w:ascii="Times New Roman" w:eastAsiaTheme="minorEastAsia" w:hAnsi="Times New Roman" w:cs="Times New Roman"/>
          <w:sz w:val="24"/>
          <w:szCs w:val="24"/>
          <w:lang w:eastAsia="pl-PL"/>
        </w:rPr>
        <w:t> średnia</w:t>
      </w:r>
      <w:proofErr w:type="gramEnd"/>
      <w:r w:rsidRPr="005924B0">
        <w:rPr>
          <w:rFonts w:ascii="Times New Roman" w:eastAsiaTheme="minorEastAsia" w:hAnsi="Times New Roman" w:cs="Times New Roman"/>
          <w:sz w:val="24"/>
          <w:szCs w:val="24"/>
          <w:lang w:eastAsia="pl-PL"/>
        </w:rPr>
        <w:t xml:space="preserve"> temperatura mięknienia dodanego lepiszcza asfaltowego [°C],</w:t>
      </w:r>
    </w:p>
    <w:p w:rsidR="005924B0" w:rsidRPr="005924B0" w:rsidRDefault="005924B0" w:rsidP="005924B0">
      <w:pPr>
        <w:overflowPunct w:val="0"/>
        <w:autoSpaceDE w:val="0"/>
        <w:autoSpaceDN w:val="0"/>
        <w:spacing w:after="0" w:line="240" w:lineRule="auto"/>
        <w:ind w:left="960" w:hanging="960"/>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 i b       - udział masowy: lepiszcza z granulatu asfaltowego (a) i dodanego lepiszcza (b), przy a+b=1</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2.6.2.</w:t>
      </w:r>
      <w:r w:rsidRPr="005924B0">
        <w:rPr>
          <w:rFonts w:ascii="Times New Roman" w:eastAsiaTheme="minorEastAsia" w:hAnsi="Times New Roman" w:cs="Times New Roman"/>
          <w:sz w:val="24"/>
          <w:szCs w:val="24"/>
          <w:lang w:eastAsia="pl-PL"/>
        </w:rPr>
        <w:t xml:space="preserve"> Jednorodność granulatu asfaltowego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Wymagane jest podanie zmierzonej wartości jednorodności rozstępu wyników badań właściwości przeprowadzonych na liczbie próbek </w:t>
      </w:r>
      <w:r w:rsidRPr="005924B0">
        <w:rPr>
          <w:rFonts w:ascii="Times New Roman" w:eastAsiaTheme="minorEastAsia" w:hAnsi="Times New Roman" w:cs="Times New Roman"/>
          <w:i/>
          <w:iCs/>
          <w:sz w:val="24"/>
          <w:szCs w:val="24"/>
          <w:lang w:eastAsia="pl-PL"/>
        </w:rPr>
        <w:t>n</w:t>
      </w:r>
      <w:r w:rsidRPr="005924B0">
        <w:rPr>
          <w:rFonts w:ascii="Times New Roman" w:eastAsiaTheme="minorEastAsia" w:hAnsi="Times New Roman" w:cs="Times New Roman"/>
          <w:sz w:val="24"/>
          <w:szCs w:val="24"/>
          <w:lang w:eastAsia="pl-PL"/>
        </w:rPr>
        <w:t xml:space="preserve">, przy czym </w:t>
      </w:r>
      <w:r w:rsidRPr="005924B0">
        <w:rPr>
          <w:rFonts w:ascii="Times New Roman" w:eastAsiaTheme="minorEastAsia" w:hAnsi="Times New Roman" w:cs="Times New Roman"/>
          <w:i/>
          <w:iCs/>
          <w:sz w:val="24"/>
          <w:szCs w:val="24"/>
          <w:lang w:eastAsia="pl-PL"/>
        </w:rPr>
        <w:t>n</w:t>
      </w:r>
      <w:r w:rsidRPr="005924B0">
        <w:rPr>
          <w:rFonts w:ascii="Times New Roman" w:eastAsiaTheme="minorEastAsia" w:hAnsi="Times New Roman" w:cs="Times New Roman"/>
          <w:sz w:val="24"/>
          <w:szCs w:val="24"/>
          <w:lang w:eastAsia="pl-PL"/>
        </w:rPr>
        <w:t xml:space="preserve"> powinno wynosić co najmniej 5. Liczbę próbek oblicza się, dzieląc masę materiału wyjściowego podanego w tonach [t], zaokrąglając w górę do pełnej liczby.</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Wymagania dotyczące dopuszczalnego rozstępu wyników badań granulatu asfaltowego podano w tablicy 13.</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13. Dopuszczalny rozstęp wyników badań właściwości</w:t>
      </w:r>
    </w:p>
    <w:tbl>
      <w:tblPr>
        <w:tblW w:w="8868" w:type="dxa"/>
        <w:tblCellMar>
          <w:left w:w="0" w:type="dxa"/>
          <w:right w:w="0" w:type="dxa"/>
        </w:tblCellMar>
        <w:tblLook w:val="04A0" w:firstRow="1" w:lastRow="0" w:firstColumn="1" w:lastColumn="0" w:noHBand="0" w:noVBand="1"/>
      </w:tblPr>
      <w:tblGrid>
        <w:gridCol w:w="4548"/>
        <w:gridCol w:w="4320"/>
      </w:tblGrid>
      <w:tr w:rsidR="005924B0" w:rsidRPr="005924B0" w:rsidTr="005924B0">
        <w:trPr>
          <w:trHeight w:val="1160"/>
        </w:trPr>
        <w:tc>
          <w:tcPr>
            <w:tcW w:w="4548"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43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Dopuszczalny rozstęp wyników badań (T</w:t>
            </w:r>
            <w:r w:rsidRPr="005924B0">
              <w:rPr>
                <w:rFonts w:ascii="Times New Roman" w:eastAsiaTheme="minorEastAsia" w:hAnsi="Times New Roman" w:cs="Times New Roman"/>
                <w:sz w:val="24"/>
                <w:szCs w:val="24"/>
                <w:vertAlign w:val="subscript"/>
                <w:lang w:eastAsia="pl-PL"/>
              </w:rPr>
              <w:t>roż</w:t>
            </w:r>
            <w:r w:rsidRPr="005924B0">
              <w:rPr>
                <w:rFonts w:ascii="Times New Roman" w:eastAsiaTheme="minorEastAsia" w:hAnsi="Times New Roman" w:cs="Times New Roman"/>
                <w:sz w:val="24"/>
                <w:szCs w:val="24"/>
                <w:lang w:eastAsia="pl-PL"/>
              </w:rPr>
              <w:t>) partii granulatu asfaltowego do zastosowania w mieszance mineralno-asfaltowej przeznaczonej do warstwy podbudowy</w:t>
            </w:r>
          </w:p>
        </w:tc>
      </w:tr>
      <w:tr w:rsidR="005924B0" w:rsidRPr="005924B0" w:rsidTr="005924B0">
        <w:tc>
          <w:tcPr>
            <w:tcW w:w="45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Temperatura mięknienia lepiszcza odzyskanego, [°C]</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8,0</w:t>
            </w:r>
          </w:p>
        </w:tc>
      </w:tr>
      <w:tr w:rsidR="005924B0" w:rsidRPr="005924B0" w:rsidTr="005924B0">
        <w:tc>
          <w:tcPr>
            <w:tcW w:w="45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lepiszcza, [%(m/m)]</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r>
      <w:tr w:rsidR="005924B0" w:rsidRPr="005924B0" w:rsidTr="005924B0">
        <w:tc>
          <w:tcPr>
            <w:tcW w:w="45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Kruszywo o uziarnieniu poniżej 0,063 mm [%(m/m)]</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r>
      <w:tr w:rsidR="005924B0" w:rsidRPr="005924B0" w:rsidTr="005924B0">
        <w:tc>
          <w:tcPr>
            <w:tcW w:w="45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Kruszywo o uziarnieniu od 0,063 do 2 mm [%(m/m)]</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16,0</w:t>
            </w:r>
          </w:p>
        </w:tc>
      </w:tr>
      <w:tr w:rsidR="005924B0" w:rsidRPr="005924B0" w:rsidTr="005924B0">
        <w:tc>
          <w:tcPr>
            <w:tcW w:w="45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Kruszywo o uziarnieniu powyżej 2 </w:t>
            </w:r>
            <w:proofErr w:type="gramStart"/>
            <w:r w:rsidRPr="005924B0">
              <w:rPr>
                <w:rFonts w:ascii="Times New Roman" w:eastAsiaTheme="minorEastAsia" w:hAnsi="Times New Roman" w:cs="Times New Roman"/>
                <w:sz w:val="24"/>
                <w:szCs w:val="24"/>
                <w:lang w:eastAsia="pl-PL"/>
              </w:rPr>
              <w:t>mm  [</w:t>
            </w:r>
            <w:proofErr w:type="gramEnd"/>
            <w:r w:rsidRPr="005924B0">
              <w:rPr>
                <w:rFonts w:ascii="Times New Roman" w:eastAsiaTheme="minorEastAsia" w:hAnsi="Times New Roman" w:cs="Times New Roman"/>
                <w:sz w:val="24"/>
                <w:szCs w:val="24"/>
                <w:lang w:eastAsia="pl-PL"/>
              </w:rPr>
              <w:t>%(m/m)]</w:t>
            </w:r>
          </w:p>
        </w:tc>
        <w:tc>
          <w:tcPr>
            <w:tcW w:w="43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18,0</w:t>
            </w:r>
          </w:p>
        </w:tc>
      </w:tr>
    </w:tbl>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2.6.3.</w:t>
      </w:r>
      <w:r w:rsidRPr="005924B0">
        <w:rPr>
          <w:rFonts w:ascii="Times New Roman" w:eastAsiaTheme="minorEastAsia" w:hAnsi="Times New Roman" w:cs="Times New Roman"/>
          <w:sz w:val="24"/>
          <w:szCs w:val="24"/>
          <w:lang w:eastAsia="pl-PL"/>
        </w:rPr>
        <w:t xml:space="preserve"> Deklarowanie właściwości w granulatu asfaltowego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opisie granulatu asfaltowego producent powinien zadeklarować:</w:t>
      </w:r>
    </w:p>
    <w:p w:rsidR="005924B0" w:rsidRPr="005924B0" w:rsidRDefault="005924B0" w:rsidP="005924B0">
      <w:pPr>
        <w:overflowPunct w:val="0"/>
        <w:autoSpaceDE w:val="0"/>
        <w:autoSpaceDN w:val="0"/>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typ mieszanki lub mieszanek, z których pochodzi granulat (np. AC 16 S, droga DK 10), nie dopuszcza się do stosowania granulatu, którego pochodzenia nie można udokumentować i zadeklarować,</w:t>
      </w:r>
    </w:p>
    <w:p w:rsidR="005924B0" w:rsidRPr="005924B0" w:rsidRDefault="005924B0" w:rsidP="005924B0">
      <w:pPr>
        <w:overflowPunct w:val="0"/>
        <w:autoSpaceDE w:val="0"/>
        <w:autoSpaceDN w:val="0"/>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rodzaj kruszywa i średnie uziarnienie,</w:t>
      </w:r>
    </w:p>
    <w:p w:rsidR="005924B0" w:rsidRPr="005924B0" w:rsidRDefault="005924B0" w:rsidP="005924B0">
      <w:pPr>
        <w:overflowPunct w:val="0"/>
        <w:autoSpaceDE w:val="0"/>
        <w:autoSpaceDN w:val="0"/>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typ lepiszcza, średnią zawartość lepiszcza i średnią temperaturę mięknienia lepiszcza odzyskanego,</w:t>
      </w:r>
    </w:p>
    <w:p w:rsidR="005924B0" w:rsidRPr="005924B0" w:rsidRDefault="005924B0" w:rsidP="005924B0">
      <w:pPr>
        <w:overflowPunct w:val="0"/>
        <w:autoSpaceDE w:val="0"/>
        <w:autoSpaceDN w:val="0"/>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maksymalną wielkość kawałków granulatu asfaltowego U GRA D/d.</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Właściwości kruszywa z granulatu asfaltowego powinny spełniać wymagania określone dla kruszywa w danej mieszance mineralno-asfaltowej.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Dopuszcza się deklarowanie właściwości kruszywa mineralnego w granulacie asfaltowym na podstawie udokumentowanego wcześniej zastosowania. </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2.6.4.</w:t>
      </w:r>
      <w:r w:rsidRPr="005924B0">
        <w:rPr>
          <w:rFonts w:ascii="Times New Roman" w:eastAsiaTheme="minorEastAsia" w:hAnsi="Times New Roman" w:cs="Times New Roman"/>
          <w:sz w:val="24"/>
          <w:szCs w:val="24"/>
          <w:lang w:eastAsia="pl-PL"/>
        </w:rPr>
        <w:t xml:space="preserve"> Warunki stosowania granulatu asfaltowego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w:t>
      </w:r>
      <w:bookmarkStart w:id="13" w:name="_GoBack"/>
      <w:bookmarkEnd w:id="13"/>
      <w:r w:rsidRPr="005924B0">
        <w:rPr>
          <w:rFonts w:ascii="Times New Roman" w:eastAsiaTheme="minorEastAsia" w:hAnsi="Times New Roman" w:cs="Times New Roman"/>
          <w:sz w:val="24"/>
          <w:szCs w:val="24"/>
          <w:lang w:eastAsia="pl-PL"/>
        </w:rPr>
        <w:t>produkcji mieszanki mineralno-asfaltowej.</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Granulat dodawany na zimno wymaga wyższego podgrzewania kruszywa zgodnie z tablicą 14. Jeżeli granulat asfaltowy jest wilgotny to należy temperaturę kruszywa jeszcze podnieść o korektę z tablicy 15.  </w:t>
      </w:r>
    </w:p>
    <w:p w:rsidR="005924B0" w:rsidRPr="005924B0" w:rsidRDefault="005924B0" w:rsidP="005924B0">
      <w:pPr>
        <w:overflowPunct w:val="0"/>
        <w:autoSpaceDE w:val="0"/>
        <w:autoSpaceDN w:val="0"/>
        <w:spacing w:before="120" w:after="120" w:line="240" w:lineRule="auto"/>
        <w:ind w:left="1321" w:hanging="1321"/>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14. Temperatura kruszywa w zależności od ilości zimnego i suchego granulatu asfaltowego</w:t>
      </w:r>
    </w:p>
    <w:p w:rsidR="005924B0" w:rsidRPr="005924B0" w:rsidRDefault="005924B0" w:rsidP="005924B0">
      <w:pPr>
        <w:overflowPunct w:val="0"/>
        <w:autoSpaceDE w:val="0"/>
        <w:autoSpaceDN w:val="0"/>
        <w:spacing w:after="120" w:line="240" w:lineRule="auto"/>
        <w:ind w:left="1321" w:hanging="1202"/>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noProof/>
          <w:sz w:val="24"/>
          <w:szCs w:val="24"/>
          <w:lang w:eastAsia="pl-PL"/>
        </w:rPr>
        <w:lastRenderedPageBreak/>
        <w:drawing>
          <wp:inline distT="0" distB="0" distL="0" distR="0">
            <wp:extent cx="4676775" cy="3028950"/>
            <wp:effectExtent l="0" t="0" r="9525" b="0"/>
            <wp:docPr id="3" name="Obraz 3" descr="\\serwer-1\dzial IR\Ogólne Specyfikacje Techniczne - 2018\Inwestycyjne wer. 2.32\ost\Podbudowy\d040701a2016_pliki\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wer-1\dzial IR\Ogólne Specyfikacje Techniczne - 2018\Inwestycyjne wer. 2.32\ost\Podbudowy\d040701a2016_pliki\image0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6775" cy="3028950"/>
                    </a:xfrm>
                    <a:prstGeom prst="rect">
                      <a:avLst/>
                    </a:prstGeom>
                    <a:noFill/>
                    <a:ln>
                      <a:noFill/>
                    </a:ln>
                  </pic:spPr>
                </pic:pic>
              </a:graphicData>
            </a:graphic>
          </wp:inline>
        </w:drawing>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Należy oznaczyć wilgotność granulatu asfaltowego i skorygować temperaturę produkcji mma zgodnie z tablicą 15 o tyle, aby nie została przekroczona dopuszczalna najwyższa temperatura lepiszcza asfaltowego w zbiorniku magazynowym (roboczym) (patrz pkt 2.3). </w:t>
      </w:r>
    </w:p>
    <w:p w:rsidR="005924B0" w:rsidRPr="005924B0" w:rsidRDefault="005924B0" w:rsidP="005924B0">
      <w:pPr>
        <w:overflowPunct w:val="0"/>
        <w:autoSpaceDE w:val="0"/>
        <w:autoSpaceDN w:val="0"/>
        <w:spacing w:before="120" w:after="120" w:line="240" w:lineRule="auto"/>
        <w:ind w:left="1134" w:hanging="1134"/>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Tablica15.   Korekta temperatury produkcji w zależności od wilgotności granulatu asfaltowego</w:t>
      </w:r>
    </w:p>
    <w:tbl>
      <w:tblPr>
        <w:tblW w:w="0" w:type="auto"/>
        <w:tblCellMar>
          <w:left w:w="0" w:type="dxa"/>
          <w:right w:w="0" w:type="dxa"/>
        </w:tblCellMar>
        <w:tblLook w:val="04A0" w:firstRow="1" w:lastRow="0" w:firstColumn="1" w:lastColumn="0" w:noHBand="0" w:noVBand="1"/>
      </w:tblPr>
      <w:tblGrid>
        <w:gridCol w:w="1376"/>
        <w:gridCol w:w="1068"/>
        <w:gridCol w:w="1067"/>
        <w:gridCol w:w="1067"/>
        <w:gridCol w:w="1067"/>
        <w:gridCol w:w="1067"/>
        <w:gridCol w:w="1067"/>
      </w:tblGrid>
      <w:tr w:rsidR="005924B0" w:rsidRPr="005924B0" w:rsidTr="005924B0">
        <w:tc>
          <w:tcPr>
            <w:tcW w:w="1184"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Udział granulatu asfaltowego </w:t>
            </w:r>
            <w:proofErr w:type="gramStart"/>
            <w:r w:rsidRPr="005924B0">
              <w:rPr>
                <w:rFonts w:ascii="Times New Roman" w:eastAsiaTheme="minorEastAsia" w:hAnsi="Times New Roman" w:cs="Times New Roman"/>
                <w:sz w:val="24"/>
                <w:szCs w:val="24"/>
                <w:lang w:eastAsia="pl-PL"/>
              </w:rPr>
              <w:t>M[</w:t>
            </w:r>
            <w:proofErr w:type="gramEnd"/>
            <w:r w:rsidRPr="005924B0">
              <w:rPr>
                <w:rFonts w:ascii="Times New Roman" w:eastAsiaTheme="minorEastAsia" w:hAnsi="Times New Roman" w:cs="Times New Roman"/>
                <w:sz w:val="24"/>
                <w:szCs w:val="24"/>
                <w:lang w:eastAsia="pl-PL"/>
              </w:rPr>
              <w:t>%]</w:t>
            </w:r>
          </w:p>
        </w:tc>
        <w:tc>
          <w:tcPr>
            <w:tcW w:w="6403" w:type="dxa"/>
            <w:gridSpan w:val="6"/>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Wilgotność granulatu asfaltowego [%]</w:t>
            </w:r>
          </w:p>
        </w:tc>
      </w:tr>
      <w:tr w:rsidR="005924B0" w:rsidRPr="005924B0" w:rsidTr="005924B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06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r>
      <w:tr w:rsidR="005924B0" w:rsidRPr="005924B0" w:rsidTr="005924B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6403" w:type="dxa"/>
            <w:gridSpan w:val="6"/>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Korekta temperatury °C</w:t>
            </w:r>
          </w:p>
        </w:tc>
      </w:tr>
      <w:tr w:rsidR="005924B0" w:rsidRPr="005924B0" w:rsidTr="005924B0">
        <w:tc>
          <w:tcPr>
            <w:tcW w:w="118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106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1067"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1067"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1067"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w:t>
            </w:r>
          </w:p>
        </w:tc>
        <w:tc>
          <w:tcPr>
            <w:tcW w:w="1067"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20</w:t>
            </w:r>
          </w:p>
        </w:tc>
        <w:tc>
          <w:tcPr>
            <w:tcW w:w="1067"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24</w:t>
            </w:r>
          </w:p>
        </w:tc>
      </w:tr>
      <w:tr w:rsidR="005924B0" w:rsidRPr="005924B0" w:rsidTr="005924B0">
        <w:tc>
          <w:tcPr>
            <w:tcW w:w="118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c>
          <w:tcPr>
            <w:tcW w:w="1068"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1067"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1067"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18</w:t>
            </w:r>
          </w:p>
        </w:tc>
        <w:tc>
          <w:tcPr>
            <w:tcW w:w="1067"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24</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36</w:t>
            </w:r>
          </w:p>
        </w:tc>
      </w:tr>
      <w:tr w:rsidR="005924B0" w:rsidRPr="005924B0" w:rsidTr="005924B0">
        <w:tc>
          <w:tcPr>
            <w:tcW w:w="118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20</w:t>
            </w:r>
          </w:p>
        </w:tc>
        <w:tc>
          <w:tcPr>
            <w:tcW w:w="1068"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1067"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24</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32</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40</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48</w:t>
            </w:r>
          </w:p>
        </w:tc>
      </w:tr>
      <w:tr w:rsidR="005924B0" w:rsidRPr="005924B0" w:rsidTr="005924B0">
        <w:tc>
          <w:tcPr>
            <w:tcW w:w="118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w:t>
            </w:r>
          </w:p>
        </w:tc>
        <w:tc>
          <w:tcPr>
            <w:tcW w:w="1068"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1067"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20</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40</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60</w:t>
            </w:r>
          </w:p>
        </w:tc>
      </w:tr>
      <w:tr w:rsidR="005924B0" w:rsidRPr="005924B0" w:rsidTr="005924B0">
        <w:tc>
          <w:tcPr>
            <w:tcW w:w="118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w:t>
            </w:r>
          </w:p>
        </w:tc>
        <w:tc>
          <w:tcPr>
            <w:tcW w:w="1068"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1067" w:type="dxa"/>
            <w:tcBorders>
              <w:top w:val="single" w:sz="8" w:space="0" w:color="000000"/>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24</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1067" w:type="dxa"/>
            <w:tcBorders>
              <w:top w:val="nil"/>
              <w:left w:val="nil"/>
              <w:bottom w:val="single" w:sz="8" w:space="0" w:color="auto"/>
              <w:right w:val="single" w:sz="8" w:space="0" w:color="auto"/>
            </w:tcBorders>
            <w:shd w:val="clear" w:color="auto" w:fill="EEECE1"/>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Szare pola wskazują dodatek granulatu nieekonomiczny i niebezpieczny ze względu na duże ilości pary wodnej powstającej przy odparowaniu wody z wilgotnego granulatu.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Dopuszcza się użycie granulatu asfaltowego w metodzie „na </w:t>
      </w:r>
      <w:proofErr w:type="gramStart"/>
      <w:r w:rsidRPr="005924B0">
        <w:rPr>
          <w:rFonts w:ascii="Times New Roman" w:eastAsiaTheme="minorEastAsia" w:hAnsi="Times New Roman" w:cs="Times New Roman"/>
          <w:sz w:val="24"/>
          <w:szCs w:val="24"/>
          <w:lang w:eastAsia="pl-PL"/>
        </w:rPr>
        <w:t>zimno”  (</w:t>
      </w:r>
      <w:proofErr w:type="gramEnd"/>
      <w:r w:rsidRPr="005924B0">
        <w:rPr>
          <w:rFonts w:ascii="Times New Roman" w:eastAsiaTheme="minorEastAsia" w:hAnsi="Times New Roman" w:cs="Times New Roman"/>
          <w:sz w:val="24"/>
          <w:szCs w:val="24"/>
          <w:lang w:eastAsia="pl-PL"/>
        </w:rPr>
        <w:t>bez wstępnego ogrzewania) w ilości do 20% masy mieszanki mineralno-asfaltowej na podstawie wykazania spełnienia wymagań podanych powyżej oraz spełniania właściwości mma.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Uwaga: Stosowanie granulatu asfaltowego nie może obniżać właściwości mieszanek mineralno-asfaltowych.</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 produkcji mieszanek mineralno-asfaltowych z zastosowaniem granulatu nie dopuszcza się stosowania środków obniżających lepkość asfaltu.</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2.7. Materiały do uszczelnienia połączeń technologicznych i krawędzi</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Do uszczelnienia połączeń technologicznych (tj. złączy podłużnych i poprzecznych) z tego samego materiału wykonywanego w różnym czasie należy stosować elastyczne taśmy bitumiczne i pasty asfaltowe dobrane wg zasad przedstawionych w tablicy 16 oraz spełniające wymagania, w zależności od rodzaju materiału, wg tablic od 17 do 19. </w:t>
      </w:r>
    </w:p>
    <w:p w:rsidR="005924B0" w:rsidRPr="005924B0" w:rsidRDefault="005924B0" w:rsidP="005924B0">
      <w:pPr>
        <w:overflowPunct w:val="0"/>
        <w:autoSpaceDE w:val="0"/>
        <w:autoSpaceDN w:val="0"/>
        <w:spacing w:before="120" w:after="120" w:line="240" w:lineRule="auto"/>
        <w:ind w:left="1276" w:hanging="1276"/>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16.    Materiały do złączy podłużnych i porzecznych między fragmentami zagęszczonej MMA rozkładanej metodą „gorące przy zimnym”</w:t>
      </w:r>
    </w:p>
    <w:tbl>
      <w:tblPr>
        <w:tblW w:w="0" w:type="auto"/>
        <w:tblCellMar>
          <w:left w:w="0" w:type="dxa"/>
          <w:right w:w="0" w:type="dxa"/>
        </w:tblCellMar>
        <w:tblLook w:val="04A0" w:firstRow="1" w:lastRow="0" w:firstColumn="1" w:lastColumn="0" w:noHBand="0" w:noVBand="1"/>
      </w:tblPr>
      <w:tblGrid>
        <w:gridCol w:w="1785"/>
        <w:gridCol w:w="1785"/>
        <w:gridCol w:w="1785"/>
        <w:gridCol w:w="1786"/>
        <w:gridCol w:w="1786"/>
      </w:tblGrid>
      <w:tr w:rsidR="005924B0" w:rsidRPr="005924B0" w:rsidTr="005924B0">
        <w:tc>
          <w:tcPr>
            <w:tcW w:w="1785"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Rodzaj warstwy</w:t>
            </w:r>
          </w:p>
        </w:tc>
        <w:tc>
          <w:tcPr>
            <w:tcW w:w="357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Złącze podłużne</w:t>
            </w:r>
          </w:p>
        </w:tc>
        <w:tc>
          <w:tcPr>
            <w:tcW w:w="357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Złącze poprzeczne</w:t>
            </w:r>
          </w:p>
        </w:tc>
      </w:tr>
      <w:tr w:rsidR="005924B0" w:rsidRPr="005924B0" w:rsidTr="005924B0">
        <w:tc>
          <w:tcPr>
            <w:tcW w:w="0" w:type="auto"/>
            <w:vMerge/>
            <w:tcBorders>
              <w:top w:val="single" w:sz="8" w:space="0" w:color="auto"/>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7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Ruch</w:t>
            </w:r>
          </w:p>
        </w:tc>
        <w:tc>
          <w:tcPr>
            <w:tcW w:w="17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Rodzaj materiału</w:t>
            </w:r>
          </w:p>
        </w:tc>
        <w:tc>
          <w:tcPr>
            <w:tcW w:w="178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Ruch</w:t>
            </w:r>
          </w:p>
        </w:tc>
        <w:tc>
          <w:tcPr>
            <w:tcW w:w="178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Rodzaj materiału</w:t>
            </w:r>
          </w:p>
        </w:tc>
      </w:tr>
      <w:tr w:rsidR="005924B0" w:rsidRPr="005924B0" w:rsidTr="005924B0">
        <w:tc>
          <w:tcPr>
            <w:tcW w:w="1785"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Podbudowa</w:t>
            </w:r>
          </w:p>
        </w:tc>
        <w:tc>
          <w:tcPr>
            <w:tcW w:w="1785" w:type="dxa"/>
            <w:vMerge w:val="restart"/>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 1-7</w:t>
            </w:r>
          </w:p>
        </w:tc>
        <w:tc>
          <w:tcPr>
            <w:tcW w:w="1785" w:type="dxa"/>
            <w:vMerge w:val="restart"/>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Pasty asfaltowe lub elastyczne taśmy bitumiczne</w:t>
            </w:r>
          </w:p>
        </w:tc>
        <w:tc>
          <w:tcPr>
            <w:tcW w:w="178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 1-2</w:t>
            </w:r>
          </w:p>
        </w:tc>
        <w:tc>
          <w:tcPr>
            <w:tcW w:w="178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Pasty asfaltowe lub elastyczne taśmy bitumiczne</w:t>
            </w:r>
          </w:p>
        </w:tc>
      </w:tr>
      <w:tr w:rsidR="005924B0" w:rsidRPr="005924B0" w:rsidTr="005924B0">
        <w:tc>
          <w:tcPr>
            <w:tcW w:w="0" w:type="auto"/>
            <w:vMerge/>
            <w:tcBorders>
              <w:top w:val="single" w:sz="8" w:space="0" w:color="auto"/>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4"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0" w:type="auto"/>
            <w:vMerge/>
            <w:tcBorders>
              <w:top w:val="single" w:sz="8" w:space="0" w:color="auto"/>
              <w:left w:val="nil"/>
              <w:bottom w:val="single" w:sz="4"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786" w:type="dxa"/>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 3-7</w:t>
            </w:r>
          </w:p>
        </w:tc>
        <w:tc>
          <w:tcPr>
            <w:tcW w:w="178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Elastyczne taśmy bitumiczne</w:t>
            </w:r>
          </w:p>
        </w:tc>
      </w:tr>
      <w:tr w:rsidR="005924B0" w:rsidRPr="005924B0" w:rsidTr="005924B0">
        <w:tc>
          <w:tcPr>
            <w:tcW w:w="0" w:type="auto"/>
            <w:tcBorders>
              <w:top w:val="single" w:sz="4" w:space="0" w:color="auto"/>
              <w:left w:val="single" w:sz="8" w:space="0" w:color="auto"/>
              <w:bottom w:val="single" w:sz="8" w:space="0" w:color="auto"/>
              <w:right w:val="single" w:sz="8" w:space="0" w:color="auto"/>
            </w:tcBorders>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p>
        </w:tc>
        <w:tc>
          <w:tcPr>
            <w:tcW w:w="0" w:type="auto"/>
            <w:tcBorders>
              <w:top w:val="single" w:sz="4"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c>
          <w:tcPr>
            <w:tcW w:w="0" w:type="auto"/>
            <w:tcBorders>
              <w:top w:val="single" w:sz="4" w:space="0" w:color="auto"/>
              <w:left w:val="nil"/>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c>
          <w:tcPr>
            <w:tcW w:w="1786" w:type="dxa"/>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c>
          <w:tcPr>
            <w:tcW w:w="1786" w:type="dxa"/>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5924B0" w:rsidRPr="005924B0" w:rsidRDefault="005924B0" w:rsidP="005924B0">
            <w:pPr>
              <w:spacing w:after="0" w:line="240" w:lineRule="auto"/>
              <w:rPr>
                <w:rFonts w:ascii="Times New Roman" w:eastAsia="Times New Roman" w:hAnsi="Times New Roman" w:cs="Times New Roman"/>
                <w:sz w:val="20"/>
                <w:szCs w:val="20"/>
                <w:lang w:eastAsia="pl-PL"/>
              </w:rPr>
            </w:pPr>
          </w:p>
        </w:tc>
      </w:tr>
    </w:tbl>
    <w:p w:rsidR="005924B0" w:rsidRPr="005924B0" w:rsidRDefault="005924B0" w:rsidP="005924B0">
      <w:pPr>
        <w:overflowPunct w:val="0"/>
        <w:autoSpaceDE w:val="0"/>
        <w:autoSpaceDN w:val="0"/>
        <w:spacing w:before="24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17. Wymagania wobec taśm bitumicznych</w:t>
      </w:r>
    </w:p>
    <w:tbl>
      <w:tblPr>
        <w:tblW w:w="0" w:type="auto"/>
        <w:tblCellMar>
          <w:left w:w="0" w:type="dxa"/>
          <w:right w:w="0" w:type="dxa"/>
        </w:tblCellMar>
        <w:tblLook w:val="04A0" w:firstRow="1" w:lastRow="0" w:firstColumn="1" w:lastColumn="0" w:noHBand="0" w:noVBand="1"/>
      </w:tblPr>
      <w:tblGrid>
        <w:gridCol w:w="2231"/>
        <w:gridCol w:w="2232"/>
        <w:gridCol w:w="2232"/>
        <w:gridCol w:w="2232"/>
      </w:tblGrid>
      <w:tr w:rsidR="005924B0" w:rsidRPr="005924B0" w:rsidTr="005924B0">
        <w:tc>
          <w:tcPr>
            <w:tcW w:w="223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223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 badawcza</w:t>
            </w:r>
          </w:p>
        </w:tc>
        <w:tc>
          <w:tcPr>
            <w:tcW w:w="223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Dodatkowy opis warunków badania</w:t>
            </w:r>
          </w:p>
        </w:tc>
        <w:tc>
          <w:tcPr>
            <w:tcW w:w="223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Wymaganie</w:t>
            </w:r>
          </w:p>
        </w:tc>
      </w:tr>
      <w:tr w:rsidR="005924B0" w:rsidRPr="005924B0" w:rsidTr="005924B0">
        <w:tc>
          <w:tcPr>
            <w:tcW w:w="223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 PiK</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≥90°C</w:t>
            </w:r>
          </w:p>
        </w:tc>
      </w:tr>
      <w:tr w:rsidR="005924B0" w:rsidRPr="005924B0" w:rsidTr="005924B0">
        <w:tc>
          <w:tcPr>
            <w:tcW w:w="223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Penetracja stożkiem</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13880-2[71]</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20 do 50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1/10 mm</w:t>
            </w:r>
          </w:p>
        </w:tc>
      </w:tr>
      <w:tr w:rsidR="005924B0" w:rsidRPr="005924B0" w:rsidTr="005924B0">
        <w:tc>
          <w:tcPr>
            <w:tcW w:w="223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Odprężenie sprężyste (odbojność)</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13880-3[72]</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 do 30%</w:t>
            </w:r>
          </w:p>
        </w:tc>
      </w:tr>
      <w:tr w:rsidR="005924B0" w:rsidRPr="005924B0" w:rsidTr="005924B0">
        <w:tc>
          <w:tcPr>
            <w:tcW w:w="223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Zginanie na zimno</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DIN 52123[76]</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test odcinka taśmy o długości 20 cm w temperaturze 0°C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badanie po 24 godzinnym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kondycjonowaniu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Bez pęknięcia</w:t>
            </w:r>
          </w:p>
        </w:tc>
      </w:tr>
      <w:tr w:rsidR="005924B0" w:rsidRPr="005924B0" w:rsidTr="005924B0">
        <w:tc>
          <w:tcPr>
            <w:tcW w:w="223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Możliwość wydłużenia oraz przyczepności taśmy</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SNV 671 920</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13880-13 [75])</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 temperaturze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-10°C</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 N/mm</w:t>
            </w:r>
            <w:r w:rsidRPr="005924B0">
              <w:rPr>
                <w:rFonts w:ascii="Times New Roman" w:eastAsiaTheme="minorEastAsia" w:hAnsi="Times New Roman" w:cs="Times New Roman"/>
                <w:sz w:val="24"/>
                <w:szCs w:val="24"/>
                <w:vertAlign w:val="superscript"/>
                <w:lang w:eastAsia="pl-PL"/>
              </w:rPr>
              <w:t>2</w:t>
            </w:r>
          </w:p>
        </w:tc>
      </w:tr>
      <w:tr w:rsidR="005924B0" w:rsidRPr="005924B0" w:rsidTr="005924B0">
        <w:tc>
          <w:tcPr>
            <w:tcW w:w="223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Możliwość wydłużenia oraz przyczepności taśmy po starzeniu termicznym</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SNV 671 920</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13880-13 [75])</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 temperaturze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-10°C</w:t>
            </w:r>
          </w:p>
        </w:tc>
        <w:tc>
          <w:tcPr>
            <w:tcW w:w="223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Należy podać wynik</w:t>
            </w:r>
          </w:p>
        </w:tc>
      </w:tr>
    </w:tbl>
    <w:p w:rsidR="005924B0" w:rsidRPr="005924B0" w:rsidRDefault="005924B0" w:rsidP="005924B0">
      <w:pPr>
        <w:overflowPunct w:val="0"/>
        <w:autoSpaceDE w:val="0"/>
        <w:autoSpaceDN w:val="0"/>
        <w:spacing w:before="24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18. Wymagania wobec past asfaltowych na zimno na bazie emulsji</w:t>
      </w:r>
    </w:p>
    <w:tbl>
      <w:tblPr>
        <w:tblW w:w="0" w:type="auto"/>
        <w:tblCellMar>
          <w:left w:w="0" w:type="dxa"/>
          <w:right w:w="0" w:type="dxa"/>
        </w:tblCellMar>
        <w:tblLook w:val="04A0" w:firstRow="1" w:lastRow="0" w:firstColumn="1" w:lastColumn="0" w:noHBand="0" w:noVBand="1"/>
      </w:tblPr>
      <w:tblGrid>
        <w:gridCol w:w="2975"/>
        <w:gridCol w:w="2976"/>
        <w:gridCol w:w="2976"/>
      </w:tblGrid>
      <w:tr w:rsidR="005924B0" w:rsidRPr="005924B0" w:rsidTr="005924B0">
        <w:tc>
          <w:tcPr>
            <w:tcW w:w="297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297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 badawcza</w:t>
            </w:r>
          </w:p>
        </w:tc>
        <w:tc>
          <w:tcPr>
            <w:tcW w:w="297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Wymaganie</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Ocena organoleptyczna</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1425 [77]</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Pasta</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Odporność na spływanie</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13880-5 [73]</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Nie spływa</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wody</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1428 [78]</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 m/m</w:t>
            </w:r>
          </w:p>
        </w:tc>
      </w:tr>
      <w:tr w:rsidR="005924B0" w:rsidRPr="005924B0" w:rsidTr="005924B0">
        <w:tc>
          <w:tcPr>
            <w:tcW w:w="8927" w:type="dxa"/>
            <w:gridSpan w:val="3"/>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odzyskanego i ustabilizowanego lepiszcza: PN-EN 13074-1 [79] lub PN-EN 13074-2 [80]</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 PiK</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1427[22]</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≥70°C</w:t>
            </w:r>
          </w:p>
        </w:tc>
      </w:tr>
    </w:tbl>
    <w:p w:rsidR="005924B0" w:rsidRPr="005924B0" w:rsidRDefault="005924B0" w:rsidP="005924B0">
      <w:pPr>
        <w:overflowPunct w:val="0"/>
        <w:autoSpaceDE w:val="0"/>
        <w:autoSpaceDN w:val="0"/>
        <w:spacing w:before="24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Tablica 19.    Wymagania wobec past asfaltowych na gorąco na bazie asfaltu modyfikowanego polimerami</w:t>
      </w:r>
    </w:p>
    <w:tbl>
      <w:tblPr>
        <w:tblW w:w="0" w:type="auto"/>
        <w:tblCellMar>
          <w:left w:w="0" w:type="dxa"/>
          <w:right w:w="0" w:type="dxa"/>
        </w:tblCellMar>
        <w:tblLook w:val="04A0" w:firstRow="1" w:lastRow="0" w:firstColumn="1" w:lastColumn="0" w:noHBand="0" w:noVBand="1"/>
      </w:tblPr>
      <w:tblGrid>
        <w:gridCol w:w="2975"/>
        <w:gridCol w:w="2976"/>
        <w:gridCol w:w="2976"/>
      </w:tblGrid>
      <w:tr w:rsidR="005924B0" w:rsidRPr="005924B0" w:rsidTr="005924B0">
        <w:tc>
          <w:tcPr>
            <w:tcW w:w="297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297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 badawcza</w:t>
            </w:r>
          </w:p>
        </w:tc>
        <w:tc>
          <w:tcPr>
            <w:tcW w:w="297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Wymaganie</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Zachowanie przy temperaturze lejności</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13880-6 [74]</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Homogeniczny</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 PiK</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≥80°C</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Penetracja stożkiem w 25°C, 5 s, 150 g</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PN-EN 13880-2 [71]</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30 do </w:t>
            </w:r>
            <w:proofErr w:type="gramStart"/>
            <w:r w:rsidRPr="005924B0">
              <w:rPr>
                <w:rFonts w:ascii="Times New Roman" w:eastAsiaTheme="minorEastAsia" w:hAnsi="Times New Roman" w:cs="Times New Roman"/>
                <w:sz w:val="24"/>
                <w:szCs w:val="24"/>
                <w:lang w:eastAsia="pl-PL"/>
              </w:rPr>
              <w:t>60  0</w:t>
            </w:r>
            <w:proofErr w:type="gramEnd"/>
            <w:r w:rsidRPr="005924B0">
              <w:rPr>
                <w:rFonts w:ascii="Times New Roman" w:eastAsiaTheme="minorEastAsia" w:hAnsi="Times New Roman" w:cs="Times New Roman"/>
                <w:sz w:val="24"/>
                <w:szCs w:val="24"/>
                <w:lang w:eastAsia="pl-PL"/>
              </w:rPr>
              <w:t>,1 mm</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Odporność na spływanie</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13880-5 [73]</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 mm</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Odprężenie sprężyste (odbojność)</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13380-3 [72]</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10-50%</w:t>
            </w:r>
          </w:p>
        </w:tc>
      </w:tr>
      <w:tr w:rsidR="005924B0" w:rsidRPr="005924B0" w:rsidTr="005924B0">
        <w:tc>
          <w:tcPr>
            <w:tcW w:w="297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Wydłużenie nieciągłe (próba </w:t>
            </w:r>
            <w:proofErr w:type="gramStart"/>
            <w:r w:rsidRPr="005924B0">
              <w:rPr>
                <w:rFonts w:ascii="Times New Roman" w:eastAsiaTheme="minorEastAsia" w:hAnsi="Times New Roman" w:cs="Times New Roman"/>
                <w:sz w:val="24"/>
                <w:szCs w:val="24"/>
                <w:lang w:eastAsia="pl-PL"/>
              </w:rPr>
              <w:t>przyczepności )</w:t>
            </w:r>
            <w:proofErr w:type="gramEnd"/>
            <w:r w:rsidRPr="005924B0">
              <w:rPr>
                <w:rFonts w:ascii="Times New Roman" w:eastAsiaTheme="minorEastAsia" w:hAnsi="Times New Roman" w:cs="Times New Roman"/>
                <w:sz w:val="24"/>
                <w:szCs w:val="24"/>
                <w:lang w:eastAsia="pl-PL"/>
              </w:rPr>
              <w:t>, po 5 h, -10°C</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13880-13 [75]</w:t>
            </w:r>
          </w:p>
        </w:tc>
        <w:tc>
          <w:tcPr>
            <w:tcW w:w="297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 mm</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≤0,75 N/mm</w:t>
            </w:r>
            <w:r w:rsidRPr="005924B0">
              <w:rPr>
                <w:rFonts w:ascii="Times New Roman" w:eastAsiaTheme="minorEastAsia" w:hAnsi="Times New Roman" w:cs="Times New Roman"/>
                <w:sz w:val="24"/>
                <w:szCs w:val="24"/>
                <w:vertAlign w:val="superscript"/>
                <w:lang w:eastAsia="pl-PL"/>
              </w:rPr>
              <w:t>2</w:t>
            </w:r>
          </w:p>
        </w:tc>
      </w:tr>
    </w:tbl>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Składowanie materiałów termoplastycznych jest dozwolone tylko w oryginalnych opakowaniach producenta, w warunkach określonych w aprobacie technicznej.</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 uszczelnienia krawędzi należy stosować asfalt drogowy wg PN-EN 12591 [24], asfalt modyfikowany polimerami wg PN-EN 14023 [66] „metoda na gorąco”. Dopuszcza się inne rodzaje lepiszcza wg norm lub aprobat technicznych.</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2.8. Materiały do złączenia warstw konstrukcji</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Do złączania warstw konstrukcji podbudowy należy </w:t>
      </w:r>
      <w:proofErr w:type="gramStart"/>
      <w:r w:rsidRPr="005924B0">
        <w:rPr>
          <w:rFonts w:ascii="Times New Roman" w:eastAsiaTheme="minorEastAsia" w:hAnsi="Times New Roman" w:cs="Times New Roman"/>
          <w:sz w:val="24"/>
          <w:szCs w:val="24"/>
          <w:lang w:eastAsia="pl-PL"/>
        </w:rPr>
        <w:t>stosować  kationowe</w:t>
      </w:r>
      <w:proofErr w:type="gramEnd"/>
      <w:r w:rsidRPr="005924B0">
        <w:rPr>
          <w:rFonts w:ascii="Times New Roman" w:eastAsiaTheme="minorEastAsia" w:hAnsi="Times New Roman" w:cs="Times New Roman"/>
          <w:sz w:val="24"/>
          <w:szCs w:val="24"/>
          <w:lang w:eastAsia="pl-PL"/>
        </w:rPr>
        <w:t xml:space="preserve"> emulsje asfaltowe niemodyfikowane lub kationowe emulsje modyfikowane polimerami według aktualnego wydania Załącznika krajowego NA do PN-EN 13808 [64].</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Spośród rodzajów emulsji wymienionych w Załączniku krajowym NA [64a] do normy PN-EN 13808 [64], należy stosować emulsje oznaczone kodem ZM.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i przeznaczenie emulsji asfaltowych oraz sp</w:t>
      </w:r>
      <w:r w:rsidR="00071AF0">
        <w:rPr>
          <w:rFonts w:ascii="Times New Roman" w:eastAsiaTheme="minorEastAsia" w:hAnsi="Times New Roman" w:cs="Times New Roman"/>
          <w:sz w:val="24"/>
          <w:szCs w:val="24"/>
          <w:lang w:eastAsia="pl-PL"/>
        </w:rPr>
        <w:t xml:space="preserve">osób ich składowania opisano w </w:t>
      </w:r>
      <w:r w:rsidRPr="005924B0">
        <w:rPr>
          <w:rFonts w:ascii="Times New Roman" w:eastAsiaTheme="minorEastAsia" w:hAnsi="Times New Roman" w:cs="Times New Roman"/>
          <w:sz w:val="24"/>
          <w:szCs w:val="24"/>
          <w:lang w:eastAsia="pl-PL"/>
        </w:rPr>
        <w:t xml:space="preserve">ST D-04.03.01 [2]. </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 xml:space="preserve">2.9. Dodatki do mieszanki mineralno-asfaltowej </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Mogą być stosowane dodatki stabilizujące lub modyfikujące. Pochodzenie, rodzaj i właściwości dodatków powinny być deklarowane. </w:t>
      </w:r>
    </w:p>
    <w:p w:rsidR="005924B0" w:rsidRPr="005924B0" w:rsidRDefault="005924B0" w:rsidP="005924B0">
      <w:pPr>
        <w:overflowPunct w:val="0"/>
        <w:autoSpaceDE w:val="0"/>
        <w:autoSpaceDN w:val="0"/>
        <w:spacing w:after="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Należy używać tylko materiałów składowych o ustalonej przydatności.</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Ustalenie przydatności powinno wynikać co najmniej jednego z następujących dokumentów: </w:t>
      </w:r>
    </w:p>
    <w:p w:rsidR="005924B0" w:rsidRPr="005924B0" w:rsidRDefault="005924B0" w:rsidP="005924B0">
      <w:pPr>
        <w:overflowPunct w:val="0"/>
        <w:autoSpaceDE w:val="0"/>
        <w:autoSpaceDN w:val="0"/>
        <w:spacing w:after="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Normy Europejskiej,</w:t>
      </w:r>
    </w:p>
    <w:p w:rsidR="005924B0" w:rsidRPr="005924B0" w:rsidRDefault="005924B0" w:rsidP="005924B0">
      <w:pPr>
        <w:overflowPunct w:val="0"/>
        <w:autoSpaceDE w:val="0"/>
        <w:autoSpaceDN w:val="0"/>
        <w:spacing w:after="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europejskiej aprobaty technicznej,</w:t>
      </w:r>
    </w:p>
    <w:p w:rsidR="005924B0" w:rsidRPr="005924B0" w:rsidRDefault="005924B0" w:rsidP="005924B0">
      <w:pPr>
        <w:overflowPunct w:val="0"/>
        <w:autoSpaceDE w:val="0"/>
        <w:autoSpaceDN w:val="0"/>
        <w:spacing w:after="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specyfikacji materiałowych opartych na potwierdzonych pozytywnych zastosowaniach w nawierzchniach asfaltowych.  </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Wykaz należy dostarczyć w celu udowodnienia przydatności. Wykaz może być oparty na badaniach w połączeniu z dowodami w praktyce.</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Zaleca się stosowanie do mieszanki mineralno-asfaltowej środka obniżającego temperaturę produkcji i układania.  </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 mieszanki mineralno-</w:t>
      </w:r>
      <w:proofErr w:type="gramStart"/>
      <w:r w:rsidRPr="005924B0">
        <w:rPr>
          <w:rFonts w:ascii="Times New Roman" w:eastAsiaTheme="minorEastAsia" w:hAnsi="Times New Roman" w:cs="Times New Roman"/>
          <w:sz w:val="24"/>
          <w:szCs w:val="24"/>
          <w:lang w:eastAsia="pl-PL"/>
        </w:rPr>
        <w:t>asfaltowej  może</w:t>
      </w:r>
      <w:proofErr w:type="gramEnd"/>
      <w:r w:rsidRPr="005924B0">
        <w:rPr>
          <w:rFonts w:ascii="Times New Roman" w:eastAsiaTheme="minorEastAsia" w:hAnsi="Times New Roman" w:cs="Times New Roman"/>
          <w:sz w:val="24"/>
          <w:szCs w:val="24"/>
          <w:lang w:eastAsia="pl-PL"/>
        </w:rPr>
        <w:t xml:space="preserve"> być stosowany dodatek asfaltu naturalnego wg PN-EN 13108-4 [52], załącznik B. </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lastRenderedPageBreak/>
        <w:t xml:space="preserve">2.10. Skład mieszanki mineralno-asfaltowej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Skład mieszanki mineralno-asfaltowej powinien być ustalony na podstawie badań próbek wykonanych zgodnie z normą PN-EN 13108-20 [54], załącznik C oraz normami powiązanymi.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Uziarnienie mieszanki mineralnej oraz minimalna zawartość lepiszcza podane są w tablicy 20.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Próbki powinny spełniać wymagania podane w tablicach 21, 22 i 23, w zależności od kategorii ruchu jak i zawartości asfaltu B</w:t>
      </w:r>
      <w:r w:rsidRPr="005924B0">
        <w:rPr>
          <w:rFonts w:ascii="Times New Roman" w:eastAsiaTheme="minorEastAsia" w:hAnsi="Times New Roman" w:cs="Times New Roman"/>
          <w:sz w:val="24"/>
          <w:szCs w:val="24"/>
          <w:vertAlign w:val="subscript"/>
          <w:lang w:eastAsia="pl-PL"/>
        </w:rPr>
        <w:t>min</w:t>
      </w:r>
      <w:r w:rsidRPr="005924B0">
        <w:rPr>
          <w:rFonts w:ascii="Times New Roman" w:eastAsiaTheme="minorEastAsia" w:hAnsi="Times New Roman" w:cs="Times New Roman"/>
          <w:sz w:val="24"/>
          <w:szCs w:val="24"/>
          <w:lang w:eastAsia="pl-PL"/>
        </w:rPr>
        <w:t xml:space="preserve"> i temperatur zagęszczania próbek. </w:t>
      </w:r>
    </w:p>
    <w:p w:rsidR="005924B0" w:rsidRPr="005924B0" w:rsidRDefault="005924B0" w:rsidP="005924B0">
      <w:pPr>
        <w:overflowPunct w:val="0"/>
        <w:autoSpaceDE w:val="0"/>
        <w:autoSpaceDN w:val="0"/>
        <w:spacing w:before="120" w:after="120" w:line="240" w:lineRule="auto"/>
        <w:ind w:left="1134" w:hanging="1134"/>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20.  Uziarnienie mieszanki mineralnej oraz zawartość lepiszcza do betonu asfaltowego do warstwy podbudowy dla ruchu KR1÷KR7 </w:t>
      </w:r>
    </w:p>
    <w:tbl>
      <w:tblPr>
        <w:tblW w:w="0" w:type="auto"/>
        <w:tblCellMar>
          <w:left w:w="0" w:type="dxa"/>
          <w:right w:w="0" w:type="dxa"/>
        </w:tblCellMar>
        <w:tblLook w:val="04A0" w:firstRow="1" w:lastRow="0" w:firstColumn="1" w:lastColumn="0" w:noHBand="0" w:noVBand="1"/>
      </w:tblPr>
      <w:tblGrid>
        <w:gridCol w:w="1900"/>
        <w:gridCol w:w="600"/>
        <w:gridCol w:w="700"/>
        <w:gridCol w:w="600"/>
        <w:gridCol w:w="700"/>
        <w:gridCol w:w="600"/>
        <w:gridCol w:w="700"/>
        <w:gridCol w:w="600"/>
        <w:gridCol w:w="700"/>
        <w:gridCol w:w="808"/>
        <w:gridCol w:w="720"/>
      </w:tblGrid>
      <w:tr w:rsidR="005924B0" w:rsidRPr="005924B0" w:rsidTr="005924B0">
        <w:tc>
          <w:tcPr>
            <w:tcW w:w="1900"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6728" w:type="dxa"/>
            <w:gridSpan w:val="10"/>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 xml:space="preserve">Przesiew,   </w:t>
            </w:r>
            <w:proofErr w:type="gramEnd"/>
            <w:r w:rsidRPr="005924B0">
              <w:rPr>
                <w:rFonts w:ascii="Times New Roman" w:eastAsiaTheme="minorEastAsia" w:hAnsi="Times New Roman" w:cs="Times New Roman"/>
                <w:sz w:val="24"/>
                <w:szCs w:val="24"/>
                <w:lang w:eastAsia="pl-PL"/>
              </w:rPr>
              <w:t>[% (m/m)]</w:t>
            </w:r>
          </w:p>
        </w:tc>
      </w:tr>
      <w:tr w:rsidR="005924B0" w:rsidRPr="005924B0" w:rsidTr="005924B0">
        <w:tc>
          <w:tcPr>
            <w:tcW w:w="0" w:type="auto"/>
            <w:vMerge/>
            <w:tcBorders>
              <w:top w:val="single" w:sz="8" w:space="0" w:color="auto"/>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30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AC16P</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KR1-KR2</w:t>
            </w:r>
          </w:p>
        </w:tc>
        <w:tc>
          <w:tcPr>
            <w:tcW w:w="130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AC22P</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KR1-KR2</w:t>
            </w:r>
          </w:p>
        </w:tc>
        <w:tc>
          <w:tcPr>
            <w:tcW w:w="130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AC16P</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KR3-KR7</w:t>
            </w:r>
          </w:p>
        </w:tc>
        <w:tc>
          <w:tcPr>
            <w:tcW w:w="130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AC22P</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KR3-KR7</w:t>
            </w:r>
          </w:p>
        </w:tc>
        <w:tc>
          <w:tcPr>
            <w:tcW w:w="1528"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AC32P</w:t>
            </w:r>
          </w:p>
          <w:p w:rsidR="005924B0" w:rsidRPr="005924B0" w:rsidRDefault="005924B0" w:rsidP="005924B0">
            <w:pPr>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KR3-KR-7</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Wymiar sita #, [mm]</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left="70"/>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45</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31,5</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22,4</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65</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93</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100</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90</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11,2</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92</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85</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85</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42</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72</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76</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42</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68</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53</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45</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45</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40</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0,125</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13</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13</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0,063</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4,0</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6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70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80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r>
      <w:tr w:rsidR="005924B0" w:rsidRPr="005924B0" w:rsidTr="005924B0">
        <w:tc>
          <w:tcPr>
            <w:tcW w:w="19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lepiszcza, minimum</w:t>
            </w:r>
            <w:r w:rsidRPr="005924B0">
              <w:rPr>
                <w:rFonts w:ascii="Times New Roman" w:eastAsiaTheme="minorEastAsia" w:hAnsi="Times New Roman" w:cs="Times New Roman"/>
                <w:sz w:val="24"/>
                <w:szCs w:val="24"/>
                <w:vertAlign w:val="superscript"/>
                <w:lang w:eastAsia="pl-PL"/>
              </w:rPr>
              <w:t>*)</w:t>
            </w:r>
          </w:p>
        </w:tc>
        <w:tc>
          <w:tcPr>
            <w:tcW w:w="130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w:t>
            </w:r>
            <w:r w:rsidRPr="005924B0">
              <w:rPr>
                <w:rFonts w:ascii="Times New Roman" w:eastAsiaTheme="minorEastAsia" w:hAnsi="Times New Roman" w:cs="Times New Roman"/>
                <w:sz w:val="24"/>
                <w:szCs w:val="24"/>
                <w:vertAlign w:val="subscript"/>
                <w:lang w:eastAsia="pl-PL"/>
              </w:rPr>
              <w:t>min4,4</w:t>
            </w:r>
          </w:p>
        </w:tc>
        <w:tc>
          <w:tcPr>
            <w:tcW w:w="130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w:t>
            </w:r>
            <w:r w:rsidRPr="005924B0">
              <w:rPr>
                <w:rFonts w:ascii="Times New Roman" w:eastAsiaTheme="minorEastAsia" w:hAnsi="Times New Roman" w:cs="Times New Roman"/>
                <w:sz w:val="24"/>
                <w:szCs w:val="24"/>
                <w:vertAlign w:val="subscript"/>
                <w:lang w:eastAsia="pl-PL"/>
              </w:rPr>
              <w:t>min4,2</w:t>
            </w:r>
          </w:p>
        </w:tc>
        <w:tc>
          <w:tcPr>
            <w:tcW w:w="130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w:t>
            </w:r>
            <w:r w:rsidRPr="005924B0">
              <w:rPr>
                <w:rFonts w:ascii="Times New Roman" w:eastAsiaTheme="minorEastAsia" w:hAnsi="Times New Roman" w:cs="Times New Roman"/>
                <w:sz w:val="24"/>
                <w:szCs w:val="24"/>
                <w:vertAlign w:val="subscript"/>
                <w:lang w:eastAsia="pl-PL"/>
              </w:rPr>
              <w:t>min4,2</w:t>
            </w:r>
          </w:p>
        </w:tc>
        <w:tc>
          <w:tcPr>
            <w:tcW w:w="130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w:t>
            </w:r>
            <w:r w:rsidRPr="005924B0">
              <w:rPr>
                <w:rFonts w:ascii="Times New Roman" w:eastAsiaTheme="minorEastAsia" w:hAnsi="Times New Roman" w:cs="Times New Roman"/>
                <w:sz w:val="24"/>
                <w:szCs w:val="24"/>
                <w:vertAlign w:val="subscript"/>
                <w:lang w:eastAsia="pl-PL"/>
              </w:rPr>
              <w:t>min4,0</w:t>
            </w:r>
          </w:p>
        </w:tc>
        <w:tc>
          <w:tcPr>
            <w:tcW w:w="1528"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24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w:t>
            </w:r>
            <w:r w:rsidRPr="005924B0">
              <w:rPr>
                <w:rFonts w:ascii="Times New Roman" w:eastAsiaTheme="minorEastAsia" w:hAnsi="Times New Roman" w:cs="Times New Roman"/>
                <w:sz w:val="24"/>
                <w:szCs w:val="24"/>
                <w:vertAlign w:val="subscript"/>
                <w:lang w:eastAsia="pl-PL"/>
              </w:rPr>
              <w:t>min3,8</w:t>
            </w:r>
          </w:p>
        </w:tc>
      </w:tr>
      <w:tr w:rsidR="005924B0" w:rsidRPr="005924B0" w:rsidTr="005924B0">
        <w:trPr>
          <w:trHeight w:val="656"/>
        </w:trPr>
        <w:tc>
          <w:tcPr>
            <w:tcW w:w="8628" w:type="dxa"/>
            <w:gridSpan w:val="11"/>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5924B0" w:rsidRPr="005924B0" w:rsidRDefault="005924B0" w:rsidP="005924B0">
            <w:pPr>
              <w:overflowPunct w:val="0"/>
              <w:autoSpaceDE w:val="0"/>
              <w:autoSpaceDN w:val="0"/>
              <w:spacing w:before="120" w:after="120" w:line="240" w:lineRule="auto"/>
              <w:ind w:left="180" w:hanging="180"/>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w:t>
            </w:r>
            <w:r w:rsidRPr="005924B0">
              <w:rPr>
                <w:rFonts w:ascii="Times New Roman" w:eastAsiaTheme="minorEastAsia" w:hAnsi="Times New Roman" w:cs="Times New Roman"/>
                <w:sz w:val="24"/>
                <w:szCs w:val="24"/>
                <w:lang w:eastAsia="pl-PL"/>
              </w:rPr>
              <w:t xml:space="preserve"> Minimalna zawartość lepiszcza jest określona przy założonej gęstości mieszanki mineralnej </w:t>
            </w:r>
            <w:proofErr w:type="gramStart"/>
            <w:r w:rsidRPr="005924B0">
              <w:rPr>
                <w:rFonts w:ascii="Times New Roman" w:eastAsiaTheme="minorEastAsia" w:hAnsi="Times New Roman" w:cs="Times New Roman"/>
                <w:sz w:val="24"/>
                <w:szCs w:val="24"/>
                <w:lang w:eastAsia="pl-PL"/>
              </w:rPr>
              <w:t>2,650  Mg</w:t>
            </w:r>
            <w:proofErr w:type="gramEnd"/>
            <w:r w:rsidRPr="005924B0">
              <w:rPr>
                <w:rFonts w:ascii="Times New Roman" w:eastAsiaTheme="minorEastAsia" w:hAnsi="Times New Roman" w:cs="Times New Roman"/>
                <w:sz w:val="24"/>
                <w:szCs w:val="24"/>
                <w:lang w:eastAsia="pl-PL"/>
              </w:rPr>
              <w:t>/m</w:t>
            </w:r>
            <w:r w:rsidRPr="005924B0">
              <w:rPr>
                <w:rFonts w:ascii="Times New Roman" w:eastAsiaTheme="minorEastAsia" w:hAnsi="Times New Roman" w:cs="Times New Roman"/>
                <w:sz w:val="24"/>
                <w:szCs w:val="24"/>
                <w:vertAlign w:val="superscript"/>
                <w:lang w:eastAsia="pl-PL"/>
              </w:rPr>
              <w:t>3</w:t>
            </w:r>
            <w:r w:rsidRPr="005924B0">
              <w:rPr>
                <w:rFonts w:ascii="Times New Roman" w:eastAsiaTheme="minorEastAsia" w:hAnsi="Times New Roman" w:cs="Times New Roman"/>
                <w:sz w:val="24"/>
                <w:szCs w:val="24"/>
                <w:lang w:eastAsia="pl-PL"/>
              </w:rPr>
              <w:t>. Jeżeli stosowana mieszanka mineralna ma inną gęstość (</w:t>
            </w:r>
            <w:r w:rsidRPr="005924B0">
              <w:rPr>
                <w:rFonts w:ascii="Times New Roman" w:eastAsiaTheme="minorEastAsia" w:hAnsi="Times New Roman" w:cs="Times New Roman"/>
                <w:i/>
                <w:iCs/>
                <w:sz w:val="24"/>
                <w:szCs w:val="24"/>
                <w:lang w:eastAsia="pl-PL"/>
              </w:rPr>
              <w:t>ρ</w:t>
            </w:r>
            <w:r w:rsidRPr="005924B0">
              <w:rPr>
                <w:rFonts w:ascii="Times New Roman" w:eastAsiaTheme="minorEastAsia" w:hAnsi="Times New Roman" w:cs="Times New Roman"/>
                <w:sz w:val="24"/>
                <w:szCs w:val="24"/>
                <w:vertAlign w:val="subscript"/>
                <w:lang w:eastAsia="pl-PL"/>
              </w:rPr>
              <w:t>d</w:t>
            </w:r>
            <w:r w:rsidRPr="005924B0">
              <w:rPr>
                <w:rFonts w:ascii="Times New Roman" w:eastAsiaTheme="minorEastAsia" w:hAnsi="Times New Roman" w:cs="Times New Roman"/>
                <w:sz w:val="24"/>
                <w:szCs w:val="24"/>
                <w:lang w:eastAsia="pl-PL"/>
              </w:rPr>
              <w:t xml:space="preserve">), to do wyznaczenia minimalnej zawartości lepiszcza podaną wartość należy pomnożyć przez współczynnik </w:t>
            </w:r>
            <w:r w:rsidRPr="005924B0">
              <w:rPr>
                <w:rFonts w:ascii="Times New Roman" w:eastAsiaTheme="minorEastAsia" w:hAnsi="Times New Roman" w:cs="Times New Roman"/>
                <w:noProof/>
                <w:sz w:val="24"/>
                <w:szCs w:val="24"/>
                <w:vertAlign w:val="subscript"/>
                <w:lang w:eastAsia="pl-PL"/>
              </w:rPr>
              <w:drawing>
                <wp:inline distT="0" distB="0" distL="0" distR="0">
                  <wp:extent cx="152400" cy="142875"/>
                  <wp:effectExtent l="0" t="0" r="0" b="9525"/>
                  <wp:docPr id="2" name="Obraz 2" descr="\\serwer-1\dzial IR\Ogólne Specyfikacje Techniczne - 2018\Inwestycyjne wer. 2.32\ost\Podbudowy\d040701a2016_pliki\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rwer-1\dzial IR\Ogólne Specyfikacje Techniczne - 2018\Inwestycyjne wer. 2.32\ost\Podbudowy\d040701a2016_pliki\image00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5924B0">
              <w:rPr>
                <w:rFonts w:ascii="Times New Roman" w:eastAsiaTheme="minorEastAsia" w:hAnsi="Times New Roman" w:cs="Times New Roman"/>
                <w:sz w:val="24"/>
                <w:szCs w:val="24"/>
                <w:lang w:eastAsia="pl-PL"/>
              </w:rPr>
              <w:t xml:space="preserve"> według równania:  </w:t>
            </w:r>
            <w:r w:rsidRPr="005924B0">
              <w:rPr>
                <w:rFonts w:ascii="Times New Roman" w:eastAsiaTheme="minorEastAsia" w:hAnsi="Times New Roman" w:cs="Times New Roman"/>
                <w:noProof/>
                <w:sz w:val="24"/>
                <w:szCs w:val="24"/>
                <w:vertAlign w:val="subscript"/>
                <w:lang w:eastAsia="pl-PL"/>
              </w:rPr>
              <w:drawing>
                <wp:inline distT="0" distB="0" distL="0" distR="0">
                  <wp:extent cx="561975" cy="428625"/>
                  <wp:effectExtent l="0" t="0" r="9525" b="9525"/>
                  <wp:docPr id="1" name="Obraz 1" descr="\\serwer-1\dzial IR\Ogólne Specyfikacje Techniczne - 2018\Inwestycyjne wer. 2.32\ost\Podbudowy\d040701a2016_pliki\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rwer-1\dzial IR\Ogólne Specyfikacje Techniczne - 2018\Inwestycyjne wer. 2.32\ost\Podbudowy\d040701a2016_pliki\image004.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975" cy="428625"/>
                          </a:xfrm>
                          <a:prstGeom prst="rect">
                            <a:avLst/>
                          </a:prstGeom>
                          <a:noFill/>
                          <a:ln>
                            <a:noFill/>
                          </a:ln>
                        </pic:spPr>
                      </pic:pic>
                    </a:graphicData>
                  </a:graphic>
                </wp:inline>
              </w:drawing>
            </w:r>
          </w:p>
        </w:tc>
      </w:tr>
    </w:tbl>
    <w:p w:rsidR="005924B0" w:rsidRPr="005924B0" w:rsidRDefault="005924B0" w:rsidP="005924B0">
      <w:pPr>
        <w:keepNext/>
        <w:overflowPunct w:val="0"/>
        <w:autoSpaceDE w:val="0"/>
        <w:autoSpaceDN w:val="0"/>
        <w:spacing w:before="240" w:after="120" w:line="240" w:lineRule="auto"/>
        <w:ind w:left="720" w:hanging="720"/>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2.11. Właściwości mieszaki mineralno-asfaltowej do wykonania betonu asfaltowego do warstwy podbudowy</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Wymagane właściwości mieszanki mineralno-asfaltowej podane są w </w:t>
      </w:r>
      <w:proofErr w:type="gramStart"/>
      <w:r w:rsidRPr="005924B0">
        <w:rPr>
          <w:rFonts w:ascii="Times New Roman" w:eastAsiaTheme="minorEastAsia" w:hAnsi="Times New Roman" w:cs="Times New Roman"/>
          <w:sz w:val="24"/>
          <w:szCs w:val="24"/>
          <w:lang w:eastAsia="pl-PL"/>
        </w:rPr>
        <w:t>tablicach  21</w:t>
      </w:r>
      <w:proofErr w:type="gramEnd"/>
      <w:r w:rsidRPr="005924B0">
        <w:rPr>
          <w:rFonts w:ascii="Times New Roman" w:eastAsiaTheme="minorEastAsia" w:hAnsi="Times New Roman" w:cs="Times New Roman"/>
          <w:sz w:val="24"/>
          <w:szCs w:val="24"/>
          <w:lang w:eastAsia="pl-PL"/>
        </w:rPr>
        <w:t xml:space="preserve">, 22 i 23. </w:t>
      </w:r>
    </w:p>
    <w:p w:rsidR="005924B0" w:rsidRPr="005924B0" w:rsidRDefault="005924B0" w:rsidP="005924B0">
      <w:pPr>
        <w:overflowPunct w:val="0"/>
        <w:autoSpaceDE w:val="0"/>
        <w:autoSpaceDN w:val="0"/>
        <w:spacing w:before="120" w:after="120" w:line="240" w:lineRule="auto"/>
        <w:ind w:left="1134" w:hanging="1134"/>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21.  Wymagane właściwości mieszanki mineralno-asfaltowej do warstwy podbudowy, dla ruchu KR1 ÷ KR2</w:t>
      </w:r>
    </w:p>
    <w:tbl>
      <w:tblPr>
        <w:tblW w:w="8716" w:type="dxa"/>
        <w:tblCellMar>
          <w:left w:w="0" w:type="dxa"/>
          <w:right w:w="0" w:type="dxa"/>
        </w:tblCellMar>
        <w:tblLook w:val="04A0" w:firstRow="1" w:lastRow="0" w:firstColumn="1" w:lastColumn="0" w:noHBand="0" w:noVBand="1"/>
      </w:tblPr>
      <w:tblGrid>
        <w:gridCol w:w="2388"/>
        <w:gridCol w:w="1680"/>
        <w:gridCol w:w="2280"/>
        <w:gridCol w:w="1108"/>
        <w:gridCol w:w="1260"/>
      </w:tblGrid>
      <w:tr w:rsidR="005924B0" w:rsidRPr="005924B0" w:rsidTr="005924B0">
        <w:tc>
          <w:tcPr>
            <w:tcW w:w="238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Właściwość</w:t>
            </w:r>
          </w:p>
        </w:tc>
        <w:tc>
          <w:tcPr>
            <w:tcW w:w="16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Warunki zagęszczania wg PN-EN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13108-20 [54]</w:t>
            </w:r>
          </w:p>
        </w:tc>
        <w:tc>
          <w:tcPr>
            <w:tcW w:w="22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Metoda i warunki badania</w:t>
            </w:r>
          </w:p>
        </w:tc>
        <w:tc>
          <w:tcPr>
            <w:tcW w:w="110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AC16P</w:t>
            </w:r>
          </w:p>
        </w:tc>
        <w:tc>
          <w:tcPr>
            <w:tcW w:w="12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AC22P</w:t>
            </w:r>
          </w:p>
        </w:tc>
      </w:tr>
      <w:tr w:rsidR="005924B0" w:rsidRPr="005924B0" w:rsidTr="005924B0">
        <w:tc>
          <w:tcPr>
            <w:tcW w:w="23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Zawartość wolnych przestrzeni</w:t>
            </w:r>
          </w:p>
        </w:tc>
        <w:tc>
          <w:tcPr>
            <w:tcW w:w="16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lang w:eastAsia="pl-PL"/>
              </w:rPr>
              <w:t>C.1.2,ubijanie</w:t>
            </w:r>
            <w:proofErr w:type="gramEnd"/>
            <w:r w:rsidRPr="005924B0">
              <w:rPr>
                <w:rFonts w:ascii="Times New Roman" w:eastAsiaTheme="minorEastAsia" w:hAnsi="Times New Roman" w:cs="Times New Roman"/>
                <w:lang w:eastAsia="pl-PL"/>
              </w:rPr>
              <w:t>, 2×50 uderzeń</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12697-8 [37],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p. 4</w:t>
            </w:r>
          </w:p>
        </w:tc>
        <w:tc>
          <w:tcPr>
            <w:tcW w:w="1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min 4,0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max  8</w:t>
            </w:r>
            <w:proofErr w:type="gramEnd"/>
            <w:r w:rsidRPr="005924B0">
              <w:rPr>
                <w:rFonts w:ascii="Times New Roman" w:eastAsiaTheme="minorEastAsia" w:hAnsi="Times New Roman" w:cs="Times New Roman"/>
                <w:vertAlign w:val="subscript"/>
                <w:lang w:eastAsia="pl-PL"/>
              </w:rPr>
              <w:t>,0</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min  4</w:t>
            </w:r>
            <w:proofErr w:type="gramEnd"/>
            <w:r w:rsidRPr="005924B0">
              <w:rPr>
                <w:rFonts w:ascii="Times New Roman" w:eastAsiaTheme="minorEastAsia" w:hAnsi="Times New Roman" w:cs="Times New Roman"/>
                <w:vertAlign w:val="subscript"/>
                <w:lang w:eastAsia="pl-PL"/>
              </w:rPr>
              <w:t>,0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max  8</w:t>
            </w:r>
            <w:proofErr w:type="gramEnd"/>
            <w:r w:rsidRPr="005924B0">
              <w:rPr>
                <w:rFonts w:ascii="Times New Roman" w:eastAsiaTheme="minorEastAsia" w:hAnsi="Times New Roman" w:cs="Times New Roman"/>
                <w:vertAlign w:val="subscript"/>
                <w:lang w:eastAsia="pl-PL"/>
              </w:rPr>
              <w:t>,0</w:t>
            </w:r>
          </w:p>
        </w:tc>
      </w:tr>
      <w:tr w:rsidR="005924B0" w:rsidRPr="005924B0" w:rsidTr="005924B0">
        <w:tc>
          <w:tcPr>
            <w:tcW w:w="23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lastRenderedPageBreak/>
              <w:t>Wolne przestrzenie wypełnione lepiszczem</w:t>
            </w:r>
          </w:p>
        </w:tc>
        <w:tc>
          <w:tcPr>
            <w:tcW w:w="16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lang w:eastAsia="pl-PL"/>
              </w:rPr>
              <w:t>C.1.2,ubijanie</w:t>
            </w:r>
            <w:proofErr w:type="gramEnd"/>
            <w:r w:rsidRPr="005924B0">
              <w:rPr>
                <w:rFonts w:ascii="Times New Roman" w:eastAsiaTheme="minorEastAsia" w:hAnsi="Times New Roman" w:cs="Times New Roman"/>
                <w:lang w:eastAsia="pl-PL"/>
              </w:rPr>
              <w:t>, 2×50 uderzeń</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12697-8 [37],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p. 5</w:t>
            </w:r>
          </w:p>
        </w:tc>
        <w:tc>
          <w:tcPr>
            <w:tcW w:w="1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VFB</w:t>
            </w:r>
            <w:r w:rsidRPr="005924B0">
              <w:rPr>
                <w:rFonts w:ascii="Times New Roman" w:eastAsiaTheme="minorEastAsia" w:hAnsi="Times New Roman" w:cs="Times New Roman"/>
                <w:i/>
                <w:iCs/>
                <w:vertAlign w:val="subscript"/>
                <w:lang w:eastAsia="pl-PL"/>
              </w:rPr>
              <w:t>min 50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VFB</w:t>
            </w:r>
            <w:r w:rsidRPr="005924B0">
              <w:rPr>
                <w:rFonts w:ascii="Times New Roman" w:eastAsiaTheme="minorEastAsia" w:hAnsi="Times New Roman" w:cs="Times New Roman"/>
                <w:i/>
                <w:iCs/>
                <w:vertAlign w:val="subscript"/>
                <w:lang w:eastAsia="pl-PL"/>
              </w:rPr>
              <w:t>max 74</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VFB</w:t>
            </w:r>
            <w:r w:rsidRPr="005924B0">
              <w:rPr>
                <w:rFonts w:ascii="Times New Roman" w:eastAsiaTheme="minorEastAsia" w:hAnsi="Times New Roman" w:cs="Times New Roman"/>
                <w:i/>
                <w:iCs/>
                <w:vertAlign w:val="subscript"/>
                <w:lang w:eastAsia="pl-PL"/>
              </w:rPr>
              <w:t>min 50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VFB</w:t>
            </w:r>
            <w:r w:rsidRPr="005924B0">
              <w:rPr>
                <w:rFonts w:ascii="Times New Roman" w:eastAsiaTheme="minorEastAsia" w:hAnsi="Times New Roman" w:cs="Times New Roman"/>
                <w:i/>
                <w:iCs/>
                <w:vertAlign w:val="subscript"/>
                <w:lang w:eastAsia="pl-PL"/>
              </w:rPr>
              <w:t>max 74</w:t>
            </w:r>
          </w:p>
        </w:tc>
      </w:tr>
      <w:tr w:rsidR="005924B0" w:rsidRPr="005924B0" w:rsidTr="005924B0">
        <w:tc>
          <w:tcPr>
            <w:tcW w:w="23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Zawartość wolnych przestrzeni w mieszance mineralnej</w:t>
            </w:r>
          </w:p>
        </w:tc>
        <w:tc>
          <w:tcPr>
            <w:tcW w:w="16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lang w:eastAsia="pl-PL"/>
              </w:rPr>
              <w:t>C.1.2,ubijanie</w:t>
            </w:r>
            <w:proofErr w:type="gramEnd"/>
            <w:r w:rsidRPr="005924B0">
              <w:rPr>
                <w:rFonts w:ascii="Times New Roman" w:eastAsiaTheme="minorEastAsia" w:hAnsi="Times New Roman" w:cs="Times New Roman"/>
                <w:lang w:eastAsia="pl-PL"/>
              </w:rPr>
              <w:t>, 2×50 uderzeń</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12697-8 [37],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p. 5</w:t>
            </w:r>
          </w:p>
        </w:tc>
        <w:tc>
          <w:tcPr>
            <w:tcW w:w="1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VMA</w:t>
            </w:r>
            <w:r w:rsidRPr="005924B0">
              <w:rPr>
                <w:rFonts w:ascii="Times New Roman" w:eastAsiaTheme="minorEastAsia" w:hAnsi="Times New Roman" w:cs="Times New Roman"/>
                <w:i/>
                <w:iCs/>
                <w:vertAlign w:val="subscript"/>
                <w:lang w:eastAsia="pl-PL"/>
              </w:rPr>
              <w:t>min 14</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VMA</w:t>
            </w:r>
            <w:r w:rsidRPr="005924B0">
              <w:rPr>
                <w:rFonts w:ascii="Times New Roman" w:eastAsiaTheme="minorEastAsia" w:hAnsi="Times New Roman" w:cs="Times New Roman"/>
                <w:i/>
                <w:iCs/>
                <w:vertAlign w:val="subscript"/>
                <w:lang w:eastAsia="pl-PL"/>
              </w:rPr>
              <w:t>min 14</w:t>
            </w:r>
          </w:p>
        </w:tc>
      </w:tr>
      <w:tr w:rsidR="005924B0" w:rsidRPr="005924B0" w:rsidTr="005924B0">
        <w:tc>
          <w:tcPr>
            <w:tcW w:w="23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Wrażliwość na działanie wody</w:t>
            </w:r>
          </w:p>
        </w:tc>
        <w:tc>
          <w:tcPr>
            <w:tcW w:w="16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lang w:eastAsia="pl-PL"/>
              </w:rPr>
              <w:t>C.1.1,ubijanie</w:t>
            </w:r>
            <w:proofErr w:type="gramEnd"/>
            <w:r w:rsidRPr="005924B0">
              <w:rPr>
                <w:rFonts w:ascii="Times New Roman" w:eastAsiaTheme="minorEastAsia" w:hAnsi="Times New Roman" w:cs="Times New Roman"/>
                <w:lang w:eastAsia="pl-PL"/>
              </w:rPr>
              <w:t>, 2×35 uderzeń</w:t>
            </w:r>
          </w:p>
        </w:tc>
        <w:tc>
          <w:tcPr>
            <w:tcW w:w="22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12697-12 [39], przechowywanie w 40°C z jednym cyklem zamrażania, </w:t>
            </w:r>
            <w:r w:rsidRPr="005924B0">
              <w:rPr>
                <w:rFonts w:ascii="Times New Roman" w:eastAsiaTheme="minorEastAsia" w:hAnsi="Times New Roman" w:cs="Times New Roman"/>
                <w:vertAlign w:val="superscript"/>
                <w:lang w:eastAsia="pl-PL"/>
              </w:rPr>
              <w:t>a)</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badanie w 25°C</w:t>
            </w:r>
          </w:p>
        </w:tc>
        <w:tc>
          <w:tcPr>
            <w:tcW w:w="1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ITSR</w:t>
            </w:r>
            <w:r w:rsidRPr="005924B0">
              <w:rPr>
                <w:rFonts w:ascii="Times New Roman" w:eastAsiaTheme="minorEastAsia" w:hAnsi="Times New Roman" w:cs="Times New Roman"/>
                <w:i/>
                <w:iCs/>
                <w:vertAlign w:val="subscript"/>
                <w:lang w:eastAsia="pl-PL"/>
              </w:rPr>
              <w:t>70</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ITSR</w:t>
            </w:r>
            <w:r w:rsidRPr="005924B0">
              <w:rPr>
                <w:rFonts w:ascii="Times New Roman" w:eastAsiaTheme="minorEastAsia" w:hAnsi="Times New Roman" w:cs="Times New Roman"/>
                <w:vertAlign w:val="subscript"/>
                <w:lang w:eastAsia="pl-PL"/>
              </w:rPr>
              <w:t>70</w:t>
            </w:r>
          </w:p>
        </w:tc>
      </w:tr>
    </w:tbl>
    <w:p w:rsidR="005924B0" w:rsidRPr="005924B0" w:rsidRDefault="005924B0" w:rsidP="005924B0">
      <w:pPr>
        <w:overflowPunct w:val="0"/>
        <w:autoSpaceDE w:val="0"/>
        <w:autoSpaceDN w:val="0"/>
        <w:spacing w:before="120" w:after="120" w:line="240" w:lineRule="auto"/>
        <w:ind w:left="142" w:hanging="142"/>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a)</w:t>
      </w:r>
      <w:r w:rsidRPr="005924B0">
        <w:rPr>
          <w:rFonts w:ascii="Times New Roman" w:eastAsiaTheme="minorEastAsia" w:hAnsi="Times New Roman" w:cs="Times New Roman"/>
          <w:sz w:val="24"/>
          <w:szCs w:val="24"/>
          <w:lang w:eastAsia="pl-PL"/>
        </w:rPr>
        <w:t xml:space="preserve"> Ujednoliconą procedurę badania odporności na działanie wody podano w WT-2 2014 [82] w załączniku 1.</w:t>
      </w:r>
    </w:p>
    <w:p w:rsidR="005924B0" w:rsidRPr="005924B0" w:rsidRDefault="005924B0" w:rsidP="005924B0">
      <w:pPr>
        <w:overflowPunct w:val="0"/>
        <w:autoSpaceDE w:val="0"/>
        <w:autoSpaceDN w:val="0"/>
        <w:spacing w:before="120" w:after="120" w:line="240" w:lineRule="auto"/>
        <w:ind w:left="1134" w:hanging="1134"/>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22.  Wymagane właściwości mieszanki mineralno-asfaltowej do warstwy podbudowy, dla ruchu KR3 ÷ KR4</w:t>
      </w:r>
    </w:p>
    <w:tbl>
      <w:tblPr>
        <w:tblW w:w="8868" w:type="dxa"/>
        <w:tblCellMar>
          <w:left w:w="0" w:type="dxa"/>
          <w:right w:w="0" w:type="dxa"/>
        </w:tblCellMar>
        <w:tblLook w:val="04A0" w:firstRow="1" w:lastRow="0" w:firstColumn="1" w:lastColumn="0" w:noHBand="0" w:noVBand="1"/>
      </w:tblPr>
      <w:tblGrid>
        <w:gridCol w:w="2028"/>
        <w:gridCol w:w="1680"/>
        <w:gridCol w:w="2520"/>
        <w:gridCol w:w="1320"/>
        <w:gridCol w:w="1320"/>
      </w:tblGrid>
      <w:tr w:rsidR="005924B0" w:rsidRPr="005924B0" w:rsidTr="005924B0">
        <w:tc>
          <w:tcPr>
            <w:tcW w:w="202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16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Warunki zagęszczania wg PN-EN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13108-</w:t>
            </w:r>
            <w:proofErr w:type="gramStart"/>
            <w:r w:rsidRPr="005924B0">
              <w:rPr>
                <w:rFonts w:ascii="Times New Roman" w:eastAsiaTheme="minorEastAsia" w:hAnsi="Times New Roman" w:cs="Times New Roman"/>
                <w:sz w:val="24"/>
                <w:szCs w:val="24"/>
                <w:lang w:eastAsia="pl-PL"/>
              </w:rPr>
              <w:t>20  [</w:t>
            </w:r>
            <w:proofErr w:type="gramEnd"/>
            <w:r w:rsidRPr="005924B0">
              <w:rPr>
                <w:rFonts w:ascii="Times New Roman" w:eastAsiaTheme="minorEastAsia" w:hAnsi="Times New Roman" w:cs="Times New Roman"/>
                <w:sz w:val="24"/>
                <w:szCs w:val="24"/>
                <w:lang w:eastAsia="pl-PL"/>
              </w:rPr>
              <w:t>54]</w:t>
            </w:r>
          </w:p>
        </w:tc>
        <w:tc>
          <w:tcPr>
            <w:tcW w:w="25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 i warunki badania</w:t>
            </w:r>
          </w:p>
        </w:tc>
        <w:tc>
          <w:tcPr>
            <w:tcW w:w="13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AC16P</w:t>
            </w:r>
          </w:p>
        </w:tc>
        <w:tc>
          <w:tcPr>
            <w:tcW w:w="13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AC22P</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AC32P</w:t>
            </w:r>
          </w:p>
        </w:tc>
      </w:tr>
      <w:tr w:rsidR="005924B0" w:rsidRPr="005924B0" w:rsidTr="005924B0">
        <w:tc>
          <w:tcPr>
            <w:tcW w:w="202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Zawartość wolnych przestrzeni</w:t>
            </w:r>
          </w:p>
        </w:tc>
        <w:tc>
          <w:tcPr>
            <w:tcW w:w="168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lang w:eastAsia="pl-PL"/>
              </w:rPr>
              <w:t>C.1.3,ubijanie</w:t>
            </w:r>
            <w:proofErr w:type="gramEnd"/>
            <w:r w:rsidRPr="005924B0">
              <w:rPr>
                <w:rFonts w:ascii="Times New Roman" w:eastAsiaTheme="minorEastAsia" w:hAnsi="Times New Roman" w:cs="Times New Roman"/>
                <w:lang w:eastAsia="pl-PL"/>
              </w:rPr>
              <w:t>, 2×75 uderzeń</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12697-8 [37],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p. 4</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min 4,0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max 7,0</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min 4,0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max 7,0</w:t>
            </w:r>
          </w:p>
        </w:tc>
      </w:tr>
      <w:tr w:rsidR="005924B0" w:rsidRPr="005924B0" w:rsidTr="005924B0">
        <w:tc>
          <w:tcPr>
            <w:tcW w:w="202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Odporność na deformacje trwałe </w:t>
            </w:r>
            <w:proofErr w:type="gramStart"/>
            <w:r w:rsidRPr="005924B0">
              <w:rPr>
                <w:rFonts w:ascii="Times New Roman" w:eastAsiaTheme="minorEastAsia" w:hAnsi="Times New Roman" w:cs="Times New Roman"/>
                <w:vertAlign w:val="superscript"/>
                <w:lang w:eastAsia="pl-PL"/>
              </w:rPr>
              <w:t>a)c</w:t>
            </w:r>
            <w:proofErr w:type="gramEnd"/>
            <w:r w:rsidRPr="005924B0">
              <w:rPr>
                <w:rFonts w:ascii="Times New Roman" w:eastAsiaTheme="minorEastAsia" w:hAnsi="Times New Roman" w:cs="Times New Roman"/>
                <w:vertAlign w:val="superscript"/>
                <w:lang w:eastAsia="pl-PL"/>
              </w:rPr>
              <w:t>)</w:t>
            </w:r>
          </w:p>
        </w:tc>
        <w:tc>
          <w:tcPr>
            <w:tcW w:w="168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C.1.20, wałowanie,</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P</w:t>
            </w:r>
            <w:r w:rsidRPr="005924B0">
              <w:rPr>
                <w:rFonts w:ascii="Times New Roman" w:eastAsiaTheme="minorEastAsia" w:hAnsi="Times New Roman" w:cs="Times New Roman"/>
                <w:vertAlign w:val="subscript"/>
                <w:lang w:eastAsia="pl-PL"/>
              </w:rPr>
              <w:t>98</w:t>
            </w:r>
            <w:r w:rsidRPr="005924B0">
              <w:rPr>
                <w:rFonts w:ascii="Times New Roman" w:eastAsiaTheme="minorEastAsia" w:hAnsi="Times New Roman" w:cs="Times New Roman"/>
                <w:lang w:eastAsia="pl-PL"/>
              </w:rPr>
              <w:t>-P</w:t>
            </w:r>
            <w:r w:rsidRPr="005924B0">
              <w:rPr>
                <w:rFonts w:ascii="Times New Roman" w:eastAsiaTheme="minorEastAsia" w:hAnsi="Times New Roman" w:cs="Times New Roman"/>
                <w:vertAlign w:val="subscript"/>
                <w:lang w:eastAsia="pl-PL"/>
              </w:rPr>
              <w:t>100</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12697-22 [41], metoda B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w powietrzu,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13108-20,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D.1.6 [54], 60°C,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10 000 cykli</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WTS</w:t>
            </w:r>
            <w:r w:rsidRPr="005924B0">
              <w:rPr>
                <w:rFonts w:ascii="Times New Roman" w:eastAsiaTheme="minorEastAsia" w:hAnsi="Times New Roman" w:cs="Times New Roman"/>
                <w:vertAlign w:val="subscript"/>
                <w:lang w:eastAsia="pl-PL"/>
              </w:rPr>
              <w:t>AIR,0,30</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PRD</w:t>
            </w:r>
            <w:r w:rsidRPr="005924B0">
              <w:rPr>
                <w:rFonts w:ascii="Times New Roman" w:eastAsiaTheme="minorEastAsia" w:hAnsi="Times New Roman" w:cs="Times New Roman"/>
                <w:vertAlign w:val="subscript"/>
                <w:lang w:eastAsia="pl-PL"/>
              </w:rPr>
              <w:t>AIR 9,0</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WTS</w:t>
            </w:r>
            <w:r w:rsidRPr="005924B0">
              <w:rPr>
                <w:rFonts w:ascii="Times New Roman" w:eastAsiaTheme="minorEastAsia" w:hAnsi="Times New Roman" w:cs="Times New Roman"/>
                <w:vertAlign w:val="subscript"/>
                <w:lang w:eastAsia="pl-PL"/>
              </w:rPr>
              <w:t>AIR,0,3</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PRD</w:t>
            </w:r>
            <w:r w:rsidRPr="005924B0">
              <w:rPr>
                <w:rFonts w:ascii="Times New Roman" w:eastAsiaTheme="minorEastAsia" w:hAnsi="Times New Roman" w:cs="Times New Roman"/>
                <w:vertAlign w:val="subscript"/>
                <w:lang w:eastAsia="pl-PL"/>
              </w:rPr>
              <w:t>AIR 9,0</w:t>
            </w:r>
          </w:p>
        </w:tc>
      </w:tr>
      <w:tr w:rsidR="005924B0" w:rsidRPr="005924B0" w:rsidTr="005924B0">
        <w:tc>
          <w:tcPr>
            <w:tcW w:w="202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Wrażliwość na działanie wody</w:t>
            </w:r>
          </w:p>
        </w:tc>
        <w:tc>
          <w:tcPr>
            <w:tcW w:w="168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lang w:eastAsia="pl-PL"/>
              </w:rPr>
              <w:t>C.1.1,ubijanie</w:t>
            </w:r>
            <w:proofErr w:type="gramEnd"/>
            <w:r w:rsidRPr="005924B0">
              <w:rPr>
                <w:rFonts w:ascii="Times New Roman" w:eastAsiaTheme="minorEastAsia" w:hAnsi="Times New Roman" w:cs="Times New Roman"/>
                <w:lang w:eastAsia="pl-PL"/>
              </w:rPr>
              <w:t>, 2×35 uderzeń</w:t>
            </w:r>
          </w:p>
        </w:tc>
        <w:tc>
          <w:tcPr>
            <w:tcW w:w="25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12697-12 [39], przechowywanie w 40°C z jednym cyklem zamrażania,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badanie w 25°C </w:t>
            </w:r>
            <w:r w:rsidRPr="005924B0">
              <w:rPr>
                <w:rFonts w:ascii="Times New Roman" w:eastAsiaTheme="minorEastAsia" w:hAnsi="Times New Roman" w:cs="Times New Roman"/>
                <w:vertAlign w:val="superscript"/>
                <w:lang w:eastAsia="pl-PL"/>
              </w:rPr>
              <w:t>b)</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ITSR</w:t>
            </w:r>
            <w:r w:rsidRPr="005924B0">
              <w:rPr>
                <w:rFonts w:ascii="Times New Roman" w:eastAsiaTheme="minorEastAsia" w:hAnsi="Times New Roman" w:cs="Times New Roman"/>
                <w:i/>
                <w:iCs/>
                <w:vertAlign w:val="subscript"/>
                <w:lang w:eastAsia="pl-PL"/>
              </w:rPr>
              <w:t>70</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ITSR</w:t>
            </w:r>
            <w:r w:rsidRPr="005924B0">
              <w:rPr>
                <w:rFonts w:ascii="Times New Roman" w:eastAsiaTheme="minorEastAsia" w:hAnsi="Times New Roman" w:cs="Times New Roman"/>
                <w:i/>
                <w:iCs/>
                <w:vertAlign w:val="subscript"/>
                <w:lang w:eastAsia="pl-PL"/>
              </w:rPr>
              <w:t>70</w:t>
            </w:r>
          </w:p>
        </w:tc>
      </w:tr>
    </w:tbl>
    <w:p w:rsidR="005924B0" w:rsidRPr="005924B0" w:rsidRDefault="005924B0" w:rsidP="005924B0">
      <w:pPr>
        <w:overflowPunct w:val="0"/>
        <w:autoSpaceDE w:val="0"/>
        <w:autoSpaceDN w:val="0"/>
        <w:spacing w:after="0" w:line="240" w:lineRule="auto"/>
        <w:ind w:left="227" w:hanging="22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a)</w:t>
      </w:r>
      <w:r w:rsidRPr="005924B0">
        <w:rPr>
          <w:rFonts w:ascii="Times New Roman" w:eastAsiaTheme="minorEastAsia" w:hAnsi="Times New Roman" w:cs="Times New Roman"/>
          <w:sz w:val="24"/>
          <w:szCs w:val="24"/>
          <w:lang w:eastAsia="pl-PL"/>
        </w:rPr>
        <w:t>   grubość płyty: AC16P, AC22P 60mm, AC32P 80mm,</w:t>
      </w:r>
    </w:p>
    <w:p w:rsidR="005924B0" w:rsidRPr="005924B0" w:rsidRDefault="005924B0" w:rsidP="005924B0">
      <w:pPr>
        <w:overflowPunct w:val="0"/>
        <w:autoSpaceDE w:val="0"/>
        <w:autoSpaceDN w:val="0"/>
        <w:spacing w:after="0" w:line="240" w:lineRule="auto"/>
        <w:ind w:left="227" w:hanging="22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 xml:space="preserve">b)    </w:t>
      </w:r>
      <w:r w:rsidRPr="005924B0">
        <w:rPr>
          <w:rFonts w:ascii="Times New Roman" w:eastAsiaTheme="minorEastAsia" w:hAnsi="Times New Roman" w:cs="Times New Roman"/>
          <w:sz w:val="24"/>
          <w:szCs w:val="24"/>
          <w:lang w:eastAsia="pl-PL"/>
        </w:rPr>
        <w:t>ujednoliconą procedurę badania odporności na działanie wody podano w WT-2 2014 [82] w załączniku 1,</w:t>
      </w:r>
    </w:p>
    <w:p w:rsidR="005924B0" w:rsidRPr="005924B0" w:rsidRDefault="005924B0" w:rsidP="005924B0">
      <w:pPr>
        <w:overflowPunct w:val="0"/>
        <w:autoSpaceDE w:val="0"/>
        <w:autoSpaceDN w:val="0"/>
        <w:spacing w:after="0" w:line="240" w:lineRule="auto"/>
        <w:ind w:left="227" w:hanging="22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c)</w:t>
      </w:r>
      <w:r w:rsidRPr="005924B0">
        <w:rPr>
          <w:rFonts w:ascii="Times New Roman" w:eastAsiaTheme="minorEastAsia" w:hAnsi="Times New Roman" w:cs="Times New Roman"/>
          <w:sz w:val="24"/>
          <w:szCs w:val="24"/>
          <w:lang w:eastAsia="pl-PL"/>
        </w:rPr>
        <w:t>   procedurę kondycjonowania krótkoterminowego mma przed zagęszczeniem próbek podano w WT-2 2014 [82] w załączniku 2.</w:t>
      </w:r>
    </w:p>
    <w:p w:rsidR="005924B0" w:rsidRPr="005924B0" w:rsidRDefault="005924B0" w:rsidP="005924B0">
      <w:pPr>
        <w:overflowPunct w:val="0"/>
        <w:autoSpaceDE w:val="0"/>
        <w:autoSpaceDN w:val="0"/>
        <w:spacing w:before="120" w:after="120" w:line="240" w:lineRule="auto"/>
        <w:ind w:left="1112" w:hanging="1112"/>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23. Wymagane właściwości mieszanki mineralno-asfaltowej do warstwy podbudowy, dla ruchu KR5 ÷ KR7 </w:t>
      </w:r>
    </w:p>
    <w:tbl>
      <w:tblPr>
        <w:tblW w:w="8188" w:type="dxa"/>
        <w:tblCellMar>
          <w:left w:w="0" w:type="dxa"/>
          <w:right w:w="0" w:type="dxa"/>
        </w:tblCellMar>
        <w:tblLook w:val="04A0" w:firstRow="1" w:lastRow="0" w:firstColumn="1" w:lastColumn="0" w:noHBand="0" w:noVBand="1"/>
      </w:tblPr>
      <w:tblGrid>
        <w:gridCol w:w="1951"/>
        <w:gridCol w:w="1701"/>
        <w:gridCol w:w="2835"/>
        <w:gridCol w:w="1701"/>
      </w:tblGrid>
      <w:tr w:rsidR="005924B0" w:rsidRPr="005924B0" w:rsidTr="005924B0">
        <w:tc>
          <w:tcPr>
            <w:tcW w:w="19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170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Warunki zagęszczania wg PN-EN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13108-</w:t>
            </w:r>
            <w:proofErr w:type="gramStart"/>
            <w:r w:rsidRPr="005924B0">
              <w:rPr>
                <w:rFonts w:ascii="Times New Roman" w:eastAsiaTheme="minorEastAsia" w:hAnsi="Times New Roman" w:cs="Times New Roman"/>
                <w:sz w:val="24"/>
                <w:szCs w:val="24"/>
                <w:lang w:eastAsia="pl-PL"/>
              </w:rPr>
              <w:t>20  [</w:t>
            </w:r>
            <w:proofErr w:type="gramEnd"/>
            <w:r w:rsidRPr="005924B0">
              <w:rPr>
                <w:rFonts w:ascii="Times New Roman" w:eastAsiaTheme="minorEastAsia" w:hAnsi="Times New Roman" w:cs="Times New Roman"/>
                <w:sz w:val="24"/>
                <w:szCs w:val="24"/>
                <w:lang w:eastAsia="pl-PL"/>
              </w:rPr>
              <w:t>54]</w:t>
            </w:r>
          </w:p>
        </w:tc>
        <w:tc>
          <w:tcPr>
            <w:tcW w:w="283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 i warunki badania</w:t>
            </w:r>
          </w:p>
        </w:tc>
        <w:tc>
          <w:tcPr>
            <w:tcW w:w="170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AC16P</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AC22P</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AC32P</w:t>
            </w:r>
          </w:p>
        </w:tc>
      </w:tr>
      <w:tr w:rsidR="005924B0" w:rsidRPr="005924B0" w:rsidTr="005924B0">
        <w:tc>
          <w:tcPr>
            <w:tcW w:w="19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Zawartość wolnych przestrzeni</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lang w:eastAsia="pl-PL"/>
              </w:rPr>
              <w:t>C.1.3,ubijanie</w:t>
            </w:r>
            <w:proofErr w:type="gramEnd"/>
            <w:r w:rsidRPr="005924B0">
              <w:rPr>
                <w:rFonts w:ascii="Times New Roman" w:eastAsiaTheme="minorEastAsia" w:hAnsi="Times New Roman" w:cs="Times New Roman"/>
                <w:lang w:eastAsia="pl-PL"/>
              </w:rPr>
              <w:t>, 2×75 uderzeń</w:t>
            </w:r>
          </w:p>
        </w:tc>
        <w:tc>
          <w:tcPr>
            <w:tcW w:w="28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PN-EN 12697-8 [37], p. 4</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min 4,0</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V</w:t>
            </w:r>
            <w:r w:rsidRPr="005924B0">
              <w:rPr>
                <w:rFonts w:ascii="Times New Roman" w:eastAsiaTheme="minorEastAsia" w:hAnsi="Times New Roman" w:cs="Times New Roman"/>
                <w:vertAlign w:val="subscript"/>
                <w:lang w:eastAsia="pl-PL"/>
              </w:rPr>
              <w:t>max 7,0</w:t>
            </w:r>
          </w:p>
        </w:tc>
      </w:tr>
      <w:tr w:rsidR="005924B0" w:rsidRPr="005924B0" w:rsidTr="005924B0">
        <w:tc>
          <w:tcPr>
            <w:tcW w:w="19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Odporność na deformacje trwałe </w:t>
            </w:r>
            <w:proofErr w:type="gramStart"/>
            <w:r w:rsidRPr="005924B0">
              <w:rPr>
                <w:rFonts w:ascii="Times New Roman" w:eastAsiaTheme="minorEastAsia" w:hAnsi="Times New Roman" w:cs="Times New Roman"/>
                <w:vertAlign w:val="superscript"/>
                <w:lang w:eastAsia="pl-PL"/>
              </w:rPr>
              <w:t>a</w:t>
            </w:r>
            <w:r w:rsidRPr="005924B0">
              <w:rPr>
                <w:rFonts w:ascii="Times New Roman" w:eastAsiaTheme="minorEastAsia" w:hAnsi="Times New Roman" w:cs="Times New Roman"/>
                <w:lang w:eastAsia="pl-PL"/>
              </w:rPr>
              <w:t>)</w:t>
            </w:r>
            <w:r w:rsidRPr="005924B0">
              <w:rPr>
                <w:rFonts w:ascii="Times New Roman" w:eastAsiaTheme="minorEastAsia" w:hAnsi="Times New Roman" w:cs="Times New Roman"/>
                <w:vertAlign w:val="superscript"/>
                <w:lang w:eastAsia="pl-PL"/>
              </w:rPr>
              <w:t>c</w:t>
            </w:r>
            <w:proofErr w:type="gramEnd"/>
            <w:r w:rsidRPr="005924B0">
              <w:rPr>
                <w:rFonts w:ascii="Times New Roman" w:eastAsiaTheme="minorEastAsia" w:hAnsi="Times New Roman" w:cs="Times New Roman"/>
                <w:vertAlign w:val="superscript"/>
                <w:lang w:eastAsia="pl-PL"/>
              </w:rPr>
              <w:t>)</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C.1.20, wałowanie,</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P</w:t>
            </w:r>
            <w:r w:rsidRPr="005924B0">
              <w:rPr>
                <w:rFonts w:ascii="Times New Roman" w:eastAsiaTheme="minorEastAsia" w:hAnsi="Times New Roman" w:cs="Times New Roman"/>
                <w:vertAlign w:val="subscript"/>
                <w:lang w:eastAsia="pl-PL"/>
              </w:rPr>
              <w:t>98</w:t>
            </w:r>
            <w:r w:rsidRPr="005924B0">
              <w:rPr>
                <w:rFonts w:ascii="Times New Roman" w:eastAsiaTheme="minorEastAsia" w:hAnsi="Times New Roman" w:cs="Times New Roman"/>
                <w:lang w:eastAsia="pl-PL"/>
              </w:rPr>
              <w:t>-P</w:t>
            </w:r>
            <w:r w:rsidRPr="005924B0">
              <w:rPr>
                <w:rFonts w:ascii="Times New Roman" w:eastAsiaTheme="minorEastAsia" w:hAnsi="Times New Roman" w:cs="Times New Roman"/>
                <w:vertAlign w:val="subscript"/>
                <w:lang w:eastAsia="pl-PL"/>
              </w:rPr>
              <w:t>100</w:t>
            </w:r>
          </w:p>
        </w:tc>
        <w:tc>
          <w:tcPr>
            <w:tcW w:w="28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12697-22 [41], metoda </w:t>
            </w:r>
            <w:proofErr w:type="gramStart"/>
            <w:r w:rsidRPr="005924B0">
              <w:rPr>
                <w:rFonts w:ascii="Times New Roman" w:eastAsiaTheme="minorEastAsia" w:hAnsi="Times New Roman" w:cs="Times New Roman"/>
                <w:lang w:eastAsia="pl-PL"/>
              </w:rPr>
              <w:t>B  w</w:t>
            </w:r>
            <w:proofErr w:type="gramEnd"/>
            <w:r w:rsidRPr="005924B0">
              <w:rPr>
                <w:rFonts w:ascii="Times New Roman" w:eastAsiaTheme="minorEastAsia" w:hAnsi="Times New Roman" w:cs="Times New Roman"/>
                <w:lang w:eastAsia="pl-PL"/>
              </w:rPr>
              <w:t xml:space="preserve"> powietrzu,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PN-EN 13108-20, D.1.6 [54] 60°C, 10 000 cykli</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WTS</w:t>
            </w:r>
            <w:r w:rsidRPr="005924B0">
              <w:rPr>
                <w:rFonts w:ascii="Times New Roman" w:eastAsiaTheme="minorEastAsia" w:hAnsi="Times New Roman" w:cs="Times New Roman"/>
                <w:vertAlign w:val="subscript"/>
                <w:lang w:eastAsia="pl-PL"/>
              </w:rPr>
              <w:t>AIR 0,15</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PRD</w:t>
            </w:r>
            <w:r w:rsidRPr="005924B0">
              <w:rPr>
                <w:rFonts w:ascii="Times New Roman" w:eastAsiaTheme="minorEastAsia" w:hAnsi="Times New Roman" w:cs="Times New Roman"/>
                <w:vertAlign w:val="subscript"/>
                <w:lang w:eastAsia="pl-PL"/>
              </w:rPr>
              <w:t>AIR 7,0</w:t>
            </w:r>
          </w:p>
        </w:tc>
      </w:tr>
      <w:tr w:rsidR="005924B0" w:rsidRPr="005924B0" w:rsidTr="005924B0">
        <w:tc>
          <w:tcPr>
            <w:tcW w:w="195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lastRenderedPageBreak/>
              <w:t>Wrażliwość na działanie wody</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lang w:eastAsia="pl-PL"/>
              </w:rPr>
              <w:t>C.1.1,ubijanie</w:t>
            </w:r>
            <w:proofErr w:type="gramEnd"/>
            <w:r w:rsidRPr="005924B0">
              <w:rPr>
                <w:rFonts w:ascii="Times New Roman" w:eastAsiaTheme="minorEastAsia" w:hAnsi="Times New Roman" w:cs="Times New Roman"/>
                <w:lang w:eastAsia="pl-PL"/>
              </w:rPr>
              <w:t>, 2×35 uderzeń</w:t>
            </w:r>
          </w:p>
        </w:tc>
        <w:tc>
          <w:tcPr>
            <w:tcW w:w="28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PN-EN 12697-12 [39], przechowywanie w 40°C z jednym cyklem zamrażania,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lang w:eastAsia="pl-PL"/>
              </w:rPr>
              <w:t xml:space="preserve">badanie w 25°C </w:t>
            </w:r>
            <w:r w:rsidRPr="005924B0">
              <w:rPr>
                <w:rFonts w:ascii="Times New Roman" w:eastAsiaTheme="minorEastAsia" w:hAnsi="Times New Roman" w:cs="Times New Roman"/>
                <w:vertAlign w:val="superscript"/>
                <w:lang w:eastAsia="pl-PL"/>
              </w:rPr>
              <w:t>b)</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i/>
                <w:iCs/>
                <w:lang w:eastAsia="pl-PL"/>
              </w:rPr>
              <w:t>ITSR</w:t>
            </w:r>
            <w:r w:rsidRPr="005924B0">
              <w:rPr>
                <w:rFonts w:ascii="Times New Roman" w:eastAsiaTheme="minorEastAsia" w:hAnsi="Times New Roman" w:cs="Times New Roman"/>
                <w:i/>
                <w:iCs/>
                <w:vertAlign w:val="subscript"/>
                <w:lang w:eastAsia="pl-PL"/>
              </w:rPr>
              <w:t>70</w:t>
            </w:r>
          </w:p>
        </w:tc>
      </w:tr>
    </w:tbl>
    <w:p w:rsidR="005924B0" w:rsidRPr="005924B0" w:rsidRDefault="005924B0" w:rsidP="005924B0">
      <w:pPr>
        <w:overflowPunct w:val="0"/>
        <w:autoSpaceDE w:val="0"/>
        <w:autoSpaceDN w:val="0"/>
        <w:spacing w:after="0" w:line="240" w:lineRule="auto"/>
        <w:ind w:left="227" w:hanging="22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a)</w:t>
      </w:r>
      <w:r w:rsidRPr="005924B0">
        <w:rPr>
          <w:rFonts w:ascii="Times New Roman" w:eastAsiaTheme="minorEastAsia" w:hAnsi="Times New Roman" w:cs="Times New Roman"/>
          <w:sz w:val="24"/>
          <w:szCs w:val="24"/>
          <w:lang w:eastAsia="pl-PL"/>
        </w:rPr>
        <w:t>  grubość płyty: AC16P, AC22P 60mm, AC32P 80mm</w:t>
      </w:r>
    </w:p>
    <w:p w:rsidR="005924B0" w:rsidRPr="005924B0" w:rsidRDefault="005924B0" w:rsidP="005924B0">
      <w:pPr>
        <w:overflowPunct w:val="0"/>
        <w:autoSpaceDE w:val="0"/>
        <w:autoSpaceDN w:val="0"/>
        <w:spacing w:after="0" w:line="240" w:lineRule="auto"/>
        <w:ind w:left="227" w:hanging="22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b)</w:t>
      </w:r>
      <w:r w:rsidRPr="005924B0">
        <w:rPr>
          <w:rFonts w:ascii="Times New Roman" w:eastAsiaTheme="minorEastAsia" w:hAnsi="Times New Roman" w:cs="Times New Roman"/>
          <w:sz w:val="24"/>
          <w:szCs w:val="24"/>
          <w:lang w:eastAsia="pl-PL"/>
        </w:rPr>
        <w:t>  ujednoliconą procedurę badania odporności na działanie wody podano w WT-2 2014 [82] w załączniku 1.</w:t>
      </w:r>
    </w:p>
    <w:p w:rsidR="005924B0" w:rsidRPr="005924B0" w:rsidRDefault="005924B0" w:rsidP="005924B0">
      <w:pPr>
        <w:overflowPunct w:val="0"/>
        <w:autoSpaceDE w:val="0"/>
        <w:autoSpaceDN w:val="0"/>
        <w:spacing w:after="0" w:line="240" w:lineRule="auto"/>
        <w:ind w:left="227" w:hanging="22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c)</w:t>
      </w:r>
      <w:r w:rsidRPr="005924B0">
        <w:rPr>
          <w:rFonts w:ascii="Times New Roman" w:eastAsiaTheme="minorEastAsia" w:hAnsi="Times New Roman" w:cs="Times New Roman"/>
          <w:sz w:val="24"/>
          <w:szCs w:val="24"/>
          <w:lang w:eastAsia="pl-PL"/>
        </w:rPr>
        <w:t>  procedurę kondycjonowania krótkoterminowego mma przed zagęszczeniem próbek podano w WT-2 2014 [82] w załączniku 2.</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14" w:name="_Toc461543720"/>
      <w:bookmarkStart w:id="15" w:name="_Toc413234105"/>
      <w:r w:rsidRPr="005924B0">
        <w:rPr>
          <w:rFonts w:ascii="Times New Roman" w:eastAsia="Times New Roman" w:hAnsi="Times New Roman" w:cs="Times New Roman"/>
          <w:b/>
          <w:bCs/>
          <w:caps/>
          <w:kern w:val="36"/>
          <w:sz w:val="24"/>
          <w:szCs w:val="24"/>
          <w:lang w:eastAsia="pl-PL"/>
        </w:rPr>
        <w:t>3. Sprzęt</w:t>
      </w:r>
      <w:bookmarkEnd w:id="14"/>
      <w:bookmarkEnd w:id="15"/>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3.1. Ogólne wymagania dotyczące sprzętu</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Ogólne wymagania dotyczące sprzętu podano w </w:t>
      </w:r>
      <w:proofErr w:type="gramStart"/>
      <w:r w:rsidRPr="005924B0">
        <w:rPr>
          <w:rFonts w:ascii="Times New Roman" w:eastAsiaTheme="minorEastAsia" w:hAnsi="Times New Roman" w:cs="Times New Roman"/>
          <w:sz w:val="24"/>
          <w:szCs w:val="24"/>
          <w:lang w:eastAsia="pl-PL"/>
        </w:rPr>
        <w:t>ST  D</w:t>
      </w:r>
      <w:proofErr w:type="gramEnd"/>
      <w:r w:rsidRPr="005924B0">
        <w:rPr>
          <w:rFonts w:ascii="Times New Roman" w:eastAsiaTheme="minorEastAsia" w:hAnsi="Times New Roman" w:cs="Times New Roman"/>
          <w:sz w:val="24"/>
          <w:szCs w:val="24"/>
          <w:lang w:eastAsia="pl-PL"/>
        </w:rPr>
        <w:t>-M-00.00.00 „Wymagania ogólne” [1] pkt 3.</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3.2. Sprzęt stosowany do wykonania robót</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Przy wykonywaniu robót Wykonawca w zależności od potrzeb, powinien wykazać się możliwością korzystania ze sprzętu dostosowanego do przyjętej metody robót, jak:</w:t>
      </w:r>
    </w:p>
    <w:p w:rsidR="005924B0" w:rsidRPr="005924B0" w:rsidRDefault="005924B0" w:rsidP="005924B0">
      <w:pPr>
        <w:overflowPunct w:val="0"/>
        <w:autoSpaceDE w:val="0"/>
        <w:autoSpaceDN w:val="0"/>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 wytwórnia (otaczarka</w:t>
      </w:r>
      <w:r w:rsidRPr="005924B0">
        <w:rPr>
          <w:rFonts w:ascii="Times New Roman" w:eastAsiaTheme="minorEastAsia" w:hAnsi="Times New Roman" w:cs="Times New Roman"/>
          <w:b/>
          <w:bCs/>
          <w:sz w:val="24"/>
          <w:szCs w:val="24"/>
          <w:lang w:eastAsia="pl-PL"/>
        </w:rPr>
        <w:t>)</w:t>
      </w:r>
      <w:r w:rsidRPr="005924B0">
        <w:rPr>
          <w:rFonts w:ascii="Times New Roman" w:eastAsiaTheme="minorEastAsia" w:hAnsi="Times New Roman" w:cs="Times New Roman"/>
          <w:sz w:val="24"/>
          <w:szCs w:val="24"/>
          <w:lang w:eastAsia="pl-PL"/>
        </w:rPr>
        <w:t xml:space="preserve"> o mieszaniu cyklicznym lub ciągłym, z automatycznym komputerowym sterowaniem produkcji, do wytwarzania mieszanek mineralno-asfaltowych,  </w:t>
      </w:r>
    </w:p>
    <w:p w:rsidR="005924B0" w:rsidRPr="005924B0" w:rsidRDefault="005924B0" w:rsidP="005924B0">
      <w:pPr>
        <w:overflowPunct w:val="0"/>
        <w:autoSpaceDE w:val="0"/>
        <w:autoSpaceDN w:val="0"/>
        <w:spacing w:after="0" w:line="240" w:lineRule="auto"/>
        <w:ind w:left="360"/>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Wytwórnia  powinna</w:t>
      </w:r>
      <w:proofErr w:type="gramEnd"/>
      <w:r w:rsidRPr="005924B0">
        <w:rPr>
          <w:rFonts w:ascii="Times New Roman" w:eastAsiaTheme="minorEastAsia" w:hAnsi="Times New Roman" w:cs="Times New Roman"/>
          <w:sz w:val="24"/>
          <w:szCs w:val="24"/>
          <w:lang w:eastAsia="pl-PL"/>
        </w:rPr>
        <w:t xml:space="preserve"> zapewnić wysuszenie i wymieszanie wszystkich składników oraz zachowanie właściwej temperatury składników i gotowej mieszanki mineralno-asfaltowej. Na wytwórni powinien funkcjonować certyfikowany system zakładowej kontroli produkcji zgodny z PN-EN 13108-21 [55]. </w:t>
      </w:r>
    </w:p>
    <w:p w:rsidR="005924B0" w:rsidRPr="005924B0" w:rsidRDefault="005924B0" w:rsidP="005924B0">
      <w:pPr>
        <w:overflowPunct w:val="0"/>
        <w:autoSpaceDE w:val="0"/>
        <w:autoSpaceDN w:val="0"/>
        <w:spacing w:after="0" w:line="240" w:lineRule="auto"/>
        <w:ind w:left="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Wytwórnia powinna być wyposażona w termometry (urządzenia pomiarowe) pozwalające na ciągłe monitorowanie temperatury poszczególnych materiałów, na różnych etapach przygotowywania materiałów, jak i na wyjściu z mieszalnika.</w:t>
      </w:r>
    </w:p>
    <w:p w:rsidR="005924B0" w:rsidRPr="005924B0" w:rsidRDefault="005924B0" w:rsidP="005924B0">
      <w:pPr>
        <w:overflowPunct w:val="0"/>
        <w:autoSpaceDE w:val="0"/>
        <w:autoSpaceDN w:val="0"/>
        <w:spacing w:after="0" w:line="240" w:lineRule="auto"/>
        <w:ind w:left="1363" w:hanging="1363"/>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układarka gąsienicowa, z elektronicznym sterowaniem równości układanej warstwy,</w:t>
      </w:r>
    </w:p>
    <w:p w:rsidR="005924B0" w:rsidRPr="005924B0" w:rsidRDefault="005924B0" w:rsidP="005924B0">
      <w:pPr>
        <w:overflowPunct w:val="0"/>
        <w:autoSpaceDE w:val="0"/>
        <w:autoSpaceDN w:val="0"/>
        <w:spacing w:after="0" w:line="240" w:lineRule="auto"/>
        <w:ind w:left="1363" w:hanging="1363"/>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skrapiarka,</w:t>
      </w:r>
    </w:p>
    <w:p w:rsidR="005924B0" w:rsidRPr="005924B0" w:rsidRDefault="005924B0" w:rsidP="005924B0">
      <w:pPr>
        <w:overflowPunct w:val="0"/>
        <w:autoSpaceDE w:val="0"/>
        <w:autoSpaceDN w:val="0"/>
        <w:spacing w:after="0" w:line="240" w:lineRule="auto"/>
        <w:ind w:left="1363" w:hanging="1363"/>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 xml:space="preserve">walce stalowe gładkie, </w:t>
      </w:r>
    </w:p>
    <w:p w:rsidR="005924B0" w:rsidRPr="005924B0" w:rsidRDefault="005924B0" w:rsidP="005924B0">
      <w:pPr>
        <w:overflowPunct w:val="0"/>
        <w:autoSpaceDE w:val="0"/>
        <w:autoSpaceDN w:val="0"/>
        <w:spacing w:after="0" w:line="240" w:lineRule="auto"/>
        <w:ind w:left="1363" w:hanging="1363"/>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lekka rozsypywarka kruszywa,</w:t>
      </w:r>
    </w:p>
    <w:p w:rsidR="005924B0" w:rsidRPr="005924B0" w:rsidRDefault="005924B0" w:rsidP="005924B0">
      <w:pPr>
        <w:overflowPunct w:val="0"/>
        <w:autoSpaceDE w:val="0"/>
        <w:autoSpaceDN w:val="0"/>
        <w:spacing w:after="0" w:line="240" w:lineRule="auto"/>
        <w:ind w:left="1363" w:hanging="1363"/>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f)</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szczotki mechaniczne i/lub inne urządzenia czyszczące,</w:t>
      </w:r>
    </w:p>
    <w:p w:rsidR="005924B0" w:rsidRPr="005924B0" w:rsidRDefault="005924B0" w:rsidP="005924B0">
      <w:pPr>
        <w:overflowPunct w:val="0"/>
        <w:autoSpaceDE w:val="0"/>
        <w:autoSpaceDN w:val="0"/>
        <w:spacing w:after="0" w:line="240" w:lineRule="auto"/>
        <w:ind w:left="1363" w:hanging="1363"/>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samochody samowyładowcze z przykryciem brezentowym lub termosami,</w:t>
      </w:r>
    </w:p>
    <w:p w:rsidR="005924B0" w:rsidRPr="005924B0" w:rsidRDefault="005924B0" w:rsidP="005924B0">
      <w:pPr>
        <w:overflowPunct w:val="0"/>
        <w:autoSpaceDE w:val="0"/>
        <w:autoSpaceDN w:val="0"/>
        <w:spacing w:after="0" w:line="240" w:lineRule="auto"/>
        <w:ind w:left="1363" w:hanging="1363"/>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h)</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sprzęt drobny.</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16" w:name="_Toc461543721"/>
      <w:bookmarkStart w:id="17" w:name="_Toc413234106"/>
      <w:r w:rsidRPr="005924B0">
        <w:rPr>
          <w:rFonts w:ascii="Times New Roman" w:eastAsia="Times New Roman" w:hAnsi="Times New Roman" w:cs="Times New Roman"/>
          <w:b/>
          <w:bCs/>
          <w:caps/>
          <w:kern w:val="36"/>
          <w:sz w:val="24"/>
          <w:szCs w:val="24"/>
          <w:lang w:eastAsia="pl-PL"/>
        </w:rPr>
        <w:t>4. Transport</w:t>
      </w:r>
      <w:bookmarkEnd w:id="16"/>
      <w:bookmarkEnd w:id="17"/>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4.1. Ogólne wymagania dotyczące transportu</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Ogólne wymagania dotyczące tr</w:t>
      </w:r>
      <w:r w:rsidR="00071AF0">
        <w:rPr>
          <w:rFonts w:ascii="Times New Roman" w:eastAsiaTheme="minorEastAsia" w:hAnsi="Times New Roman" w:cs="Times New Roman"/>
          <w:sz w:val="24"/>
          <w:szCs w:val="24"/>
          <w:lang w:eastAsia="pl-PL"/>
        </w:rPr>
        <w:t xml:space="preserve">ansportu podano w </w:t>
      </w:r>
      <w:r w:rsidRPr="005924B0">
        <w:rPr>
          <w:rFonts w:ascii="Times New Roman" w:eastAsiaTheme="minorEastAsia" w:hAnsi="Times New Roman" w:cs="Times New Roman"/>
          <w:sz w:val="24"/>
          <w:szCs w:val="24"/>
          <w:lang w:eastAsia="pl-PL"/>
        </w:rPr>
        <w:t xml:space="preserve">ST D-M-00.00.00 „Wymagania ogólne” [1] pkt 4.            </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 xml:space="preserve">4.2. Transport materiałów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Asfalt i polimeroasfalt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Kruszywa można przewozić dowolnymi środkami transportu, w warunkach zabezpieczających je przed zanieczyszczeniem, zmieszaniem z innymi materiałami i nadmiernym zawilgoceniem.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Środek adhezyjny, w opakowaniu producenta, może być przewożony dowolnymi środkami transportu z uwzględnieniem zaleceń producenta. Opakowanie powinno być zabezpieczone tak, aby nie uległo uszkodzeniu.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bookmarkStart w:id="18" w:name="_Toc413234107"/>
      <w:r w:rsidRPr="005924B0">
        <w:rPr>
          <w:rFonts w:ascii="Times New Roman" w:eastAsiaTheme="minorEastAsia" w:hAnsi="Times New Roman" w:cs="Times New Roman"/>
          <w:sz w:val="24"/>
          <w:szCs w:val="24"/>
          <w:lang w:eastAsia="pl-PL"/>
        </w:rPr>
        <w:t>Powierzchnie pojemników używanych do transportu mieszanki powinny być czyste, a do zwilżania tych powierzchni można używać tylko środki antyadhezyjne niewpływające szkodliwie na mieszankę</w:t>
      </w:r>
      <w:bookmarkEnd w:id="18"/>
      <w:r w:rsidRPr="005924B0">
        <w:rPr>
          <w:rFonts w:ascii="Times New Roman" w:eastAsiaTheme="minorEastAsia" w:hAnsi="Times New Roman" w:cs="Times New Roman"/>
          <w:sz w:val="24"/>
          <w:szCs w:val="24"/>
          <w:lang w:eastAsia="pl-PL"/>
        </w:rPr>
        <w:t xml:space="preserve">. Zabrania się skrapiania skrzyń olejem napędowym lub innymi środkami ropopochodnymi. </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19" w:name="_Toc461543722"/>
      <w:r w:rsidRPr="005924B0">
        <w:rPr>
          <w:rFonts w:ascii="Times New Roman" w:eastAsia="Times New Roman" w:hAnsi="Times New Roman" w:cs="Times New Roman"/>
          <w:b/>
          <w:bCs/>
          <w:caps/>
          <w:kern w:val="36"/>
          <w:sz w:val="24"/>
          <w:szCs w:val="24"/>
          <w:lang w:eastAsia="pl-PL"/>
        </w:rPr>
        <w:t>5. Wykonanie robót</w:t>
      </w:r>
      <w:bookmarkEnd w:id="19"/>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5.1. Ogólne zasady wykonania robót</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Ogólne zasady wykonania robó</w:t>
      </w:r>
      <w:r w:rsidR="00071AF0">
        <w:rPr>
          <w:rFonts w:ascii="Times New Roman" w:eastAsiaTheme="minorEastAsia" w:hAnsi="Times New Roman" w:cs="Times New Roman"/>
          <w:sz w:val="24"/>
          <w:szCs w:val="24"/>
          <w:lang w:eastAsia="pl-PL"/>
        </w:rPr>
        <w:t xml:space="preserve">t podano w </w:t>
      </w:r>
      <w:r w:rsidRPr="005924B0">
        <w:rPr>
          <w:rFonts w:ascii="Times New Roman" w:eastAsiaTheme="minorEastAsia" w:hAnsi="Times New Roman" w:cs="Times New Roman"/>
          <w:sz w:val="24"/>
          <w:szCs w:val="24"/>
          <w:lang w:eastAsia="pl-PL"/>
        </w:rPr>
        <w:t>ST D-M-00.00.00 „Wymagania ogólne” [1] pkt 5.</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5.2. Projektowanie mieszanki mineralno-asfaltowej</w:t>
      </w:r>
    </w:p>
    <w:p w:rsidR="005924B0" w:rsidRPr="005924B0" w:rsidRDefault="005924B0" w:rsidP="005924B0">
      <w:pPr>
        <w:overflowPunct w:val="0"/>
        <w:autoSpaceDE w:val="0"/>
        <w:autoSpaceDN w:val="0"/>
        <w:spacing w:after="0" w:line="240" w:lineRule="auto"/>
        <w:ind w:right="-5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Przed przystąpieniem do robót Wykonawca dostarczy Inżynierowi do akceptacji projekt składu mieszanki mineralno-asfaltowej (AC16P, AC22P, AC32P),</w:t>
      </w:r>
      <w:r w:rsidRPr="005924B0">
        <w:rPr>
          <w:rFonts w:ascii="Times New Roman" w:eastAsiaTheme="minorEastAsia" w:hAnsi="Times New Roman" w:cs="Times New Roman"/>
          <w:color w:val="000000"/>
          <w:sz w:val="24"/>
          <w:szCs w:val="24"/>
          <w:lang w:eastAsia="pl-PL"/>
        </w:rPr>
        <w:t xml:space="preserve"> wyniki badań laboratoryjnych oraz próbki materiałów pobrane w obecności Inżyniera do wykonania badań kontrolnych przez Zamawiającego.</w:t>
      </w:r>
    </w:p>
    <w:p w:rsidR="005924B0" w:rsidRPr="005924B0" w:rsidRDefault="005924B0" w:rsidP="005924B0">
      <w:pPr>
        <w:overflowPunct w:val="0"/>
        <w:autoSpaceDE w:val="0"/>
        <w:autoSpaceDN w:val="0"/>
        <w:spacing w:after="0" w:line="240" w:lineRule="auto"/>
        <w:ind w:right="-59"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Projekt mieszanki mineralno-asfaltowej powinien określać: </w:t>
      </w:r>
    </w:p>
    <w:p w:rsidR="005924B0" w:rsidRPr="005924B0" w:rsidRDefault="005924B0" w:rsidP="005924B0">
      <w:pPr>
        <w:autoSpaceDE w:val="0"/>
        <w:autoSpaceDN w:val="0"/>
        <w:spacing w:after="0" w:line="240" w:lineRule="auto"/>
        <w:ind w:left="425" w:right="-59" w:hanging="425"/>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color w:val="000000"/>
          <w:sz w:val="24"/>
          <w:szCs w:val="24"/>
          <w:lang w:eastAsia="pl-PL"/>
        </w:rPr>
        <w:t>źródło wszystkich zastosowanych materiałów,</w:t>
      </w:r>
    </w:p>
    <w:p w:rsidR="005924B0" w:rsidRPr="005924B0" w:rsidRDefault="005924B0" w:rsidP="005924B0">
      <w:pPr>
        <w:autoSpaceDE w:val="0"/>
        <w:autoSpaceDN w:val="0"/>
        <w:spacing w:after="0" w:line="240" w:lineRule="auto"/>
        <w:ind w:left="425" w:right="-59" w:hanging="425"/>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color w:val="000000"/>
          <w:sz w:val="24"/>
          <w:szCs w:val="24"/>
          <w:lang w:eastAsia="pl-PL"/>
        </w:rPr>
        <w:t>proporcje wszystkich składników mieszanki mineralnej,</w:t>
      </w:r>
    </w:p>
    <w:p w:rsidR="005924B0" w:rsidRPr="005924B0" w:rsidRDefault="005924B0" w:rsidP="005924B0">
      <w:pPr>
        <w:autoSpaceDE w:val="0"/>
        <w:autoSpaceDN w:val="0"/>
        <w:spacing w:after="0" w:line="240" w:lineRule="auto"/>
        <w:ind w:left="425" w:right="-59" w:hanging="425"/>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color w:val="000000"/>
          <w:sz w:val="24"/>
          <w:szCs w:val="24"/>
          <w:lang w:eastAsia="pl-PL"/>
        </w:rPr>
        <w:t>punkty graniczne uziarnienia,</w:t>
      </w:r>
    </w:p>
    <w:p w:rsidR="005924B0" w:rsidRPr="005924B0" w:rsidRDefault="005924B0" w:rsidP="005924B0">
      <w:pPr>
        <w:autoSpaceDE w:val="0"/>
        <w:autoSpaceDN w:val="0"/>
        <w:spacing w:after="0" w:line="240" w:lineRule="auto"/>
        <w:ind w:left="425" w:right="-59" w:hanging="425"/>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color w:val="000000"/>
          <w:sz w:val="24"/>
          <w:szCs w:val="24"/>
          <w:lang w:eastAsia="pl-PL"/>
        </w:rPr>
        <w:t>wyniki badań przeprowadzonych w celu określenia właściwości mieszanki i porównanie ich z wymaganiami specyfikacji,</w:t>
      </w:r>
    </w:p>
    <w:p w:rsidR="005924B0" w:rsidRPr="005924B0" w:rsidRDefault="005924B0" w:rsidP="005924B0">
      <w:pPr>
        <w:autoSpaceDE w:val="0"/>
        <w:autoSpaceDN w:val="0"/>
        <w:spacing w:after="0" w:line="240" w:lineRule="auto"/>
        <w:ind w:left="425" w:right="-59" w:hanging="425"/>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color w:val="000000"/>
          <w:sz w:val="24"/>
          <w:szCs w:val="24"/>
          <w:lang w:eastAsia="pl-PL"/>
        </w:rPr>
        <w:t xml:space="preserve">wyniki badań dotyczących fizycznych właściwości kruszywa, </w:t>
      </w:r>
    </w:p>
    <w:p w:rsidR="005924B0" w:rsidRPr="005924B0" w:rsidRDefault="005924B0" w:rsidP="005924B0">
      <w:pPr>
        <w:autoSpaceDE w:val="0"/>
        <w:autoSpaceDN w:val="0"/>
        <w:spacing w:after="0" w:line="240" w:lineRule="auto"/>
        <w:ind w:left="425" w:right="-59" w:hanging="425"/>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color w:val="000000"/>
          <w:sz w:val="24"/>
          <w:szCs w:val="24"/>
          <w:lang w:eastAsia="pl-PL"/>
        </w:rPr>
        <w:t xml:space="preserve">temperaturę wytwarzania i układania mieszanki.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 zagęszczaniu próbek laboratoryjnych mieszanek mineralno-asfaltowych należy stosować następujące temperatury mieszanki w zależności stosowanego asfaltu: </w:t>
      </w:r>
    </w:p>
    <w:p w:rsidR="005924B0" w:rsidRPr="005924B0" w:rsidRDefault="005924B0" w:rsidP="005924B0">
      <w:pPr>
        <w:overflowPunct w:val="0"/>
        <w:autoSpaceDE w:val="0"/>
        <w:autoSpaceDN w:val="0"/>
        <w:spacing w:after="0" w:line="240" w:lineRule="auto"/>
        <w:ind w:left="360" w:hanging="303"/>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35/50 i 50/70: 135°C±5°C,</w:t>
      </w:r>
    </w:p>
    <w:p w:rsidR="005924B0" w:rsidRPr="005924B0" w:rsidRDefault="005924B0" w:rsidP="005924B0">
      <w:pPr>
        <w:overflowPunct w:val="0"/>
        <w:autoSpaceDE w:val="0"/>
        <w:autoSpaceDN w:val="0"/>
        <w:spacing w:after="0" w:line="240" w:lineRule="auto"/>
        <w:ind w:left="360" w:hanging="303"/>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MG 50/70-54/64 I MG 35/50-57/69: 140</w:t>
      </w:r>
      <w:r w:rsidRPr="005924B0">
        <w:rPr>
          <w:rFonts w:ascii="Times New Roman" w:eastAsiaTheme="minorEastAsia" w:hAnsi="Times New Roman" w:cs="Times New Roman"/>
          <w:color w:val="000000"/>
          <w:spacing w:val="1"/>
          <w:sz w:val="24"/>
          <w:szCs w:val="24"/>
          <w:lang w:eastAsia="pl-PL"/>
        </w:rPr>
        <w:t>°</w:t>
      </w:r>
      <w:r w:rsidRPr="005924B0">
        <w:rPr>
          <w:rFonts w:ascii="Times New Roman" w:eastAsiaTheme="minorEastAsia" w:hAnsi="Times New Roman" w:cs="Times New Roman"/>
          <w:sz w:val="24"/>
          <w:szCs w:val="24"/>
          <w:lang w:eastAsia="pl-PL"/>
        </w:rPr>
        <w:t>C</w:t>
      </w:r>
      <w:r w:rsidRPr="005924B0">
        <w:rPr>
          <w:rFonts w:ascii="Times New Roman" w:eastAsiaTheme="minorEastAsia" w:hAnsi="Times New Roman" w:cs="Times New Roman"/>
          <w:color w:val="000000"/>
          <w:spacing w:val="1"/>
          <w:sz w:val="24"/>
          <w:szCs w:val="24"/>
          <w:lang w:eastAsia="pl-PL"/>
        </w:rPr>
        <w:t>±5°C,</w:t>
      </w:r>
      <w:r w:rsidRPr="005924B0">
        <w:rPr>
          <w:rFonts w:ascii="Times New Roman" w:eastAsiaTheme="minorEastAsia" w:hAnsi="Times New Roman" w:cs="Times New Roman"/>
          <w:sz w:val="24"/>
          <w:szCs w:val="24"/>
          <w:lang w:eastAsia="pl-PL"/>
        </w:rPr>
        <w:t xml:space="preserve"> </w:t>
      </w:r>
    </w:p>
    <w:p w:rsidR="005924B0" w:rsidRPr="005924B0" w:rsidRDefault="005924B0" w:rsidP="005924B0">
      <w:pPr>
        <w:overflowPunct w:val="0"/>
        <w:autoSpaceDE w:val="0"/>
        <w:autoSpaceDN w:val="0"/>
        <w:spacing w:after="0" w:line="240" w:lineRule="auto"/>
        <w:ind w:left="360" w:hanging="303"/>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PMB 25/ 55-60, PMB 25/55-80: 145</w:t>
      </w:r>
      <w:r w:rsidRPr="005924B0">
        <w:rPr>
          <w:rFonts w:ascii="Times New Roman" w:eastAsiaTheme="minorEastAsia" w:hAnsi="Times New Roman" w:cs="Times New Roman"/>
          <w:color w:val="000000"/>
          <w:spacing w:val="1"/>
          <w:sz w:val="24"/>
          <w:szCs w:val="24"/>
          <w:lang w:eastAsia="pl-PL"/>
        </w:rPr>
        <w:t>°</w:t>
      </w:r>
      <w:r w:rsidRPr="005924B0">
        <w:rPr>
          <w:rFonts w:ascii="Times New Roman" w:eastAsiaTheme="minorEastAsia" w:hAnsi="Times New Roman" w:cs="Times New Roman"/>
          <w:sz w:val="24"/>
          <w:szCs w:val="24"/>
          <w:lang w:eastAsia="pl-PL"/>
        </w:rPr>
        <w:t>C</w:t>
      </w:r>
      <w:r w:rsidRPr="005924B0">
        <w:rPr>
          <w:rFonts w:ascii="Times New Roman" w:eastAsiaTheme="minorEastAsia" w:hAnsi="Times New Roman" w:cs="Times New Roman"/>
          <w:color w:val="000000"/>
          <w:spacing w:val="1"/>
          <w:sz w:val="24"/>
          <w:szCs w:val="24"/>
          <w:lang w:eastAsia="pl-PL"/>
        </w:rPr>
        <w:t xml:space="preserve">±5°C.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Recepta powinna być zaprojektowana dla konkretnych materiałów, zaakceptowanych przez Inżyniera, do wbudowania i przy wykorzystaniu reprezentatywnych próbek tych materiałów.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Jeżeli mieszanka mineralno-asfaltowa jest dostarczana z kilku wytwórni lub od kilku producentów, to należy zapewnić zgodność typu i wymiaru mieszanki oraz spełnienie wymaganej dokumentacji projektowej.</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Każda zmiana składników mieszanki w czasie trwania robót wymaga akceptacji Inżyniera oraz opracowania nowej recepty i jej zatwierdzenia.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Akceptacja recepty przez Inżyniera może nastąpić na podstawie przedstawionych przez Wykonawcę badań typu i sprawozdania z próby technologicznej. W </w:t>
      </w:r>
      <w:proofErr w:type="gramStart"/>
      <w:r w:rsidRPr="005924B0">
        <w:rPr>
          <w:rFonts w:ascii="Times New Roman" w:eastAsiaTheme="minorEastAsia" w:hAnsi="Times New Roman" w:cs="Times New Roman"/>
          <w:sz w:val="24"/>
          <w:szCs w:val="24"/>
          <w:lang w:eastAsia="pl-PL"/>
        </w:rPr>
        <w:t>przypadku</w:t>
      </w:r>
      <w:proofErr w:type="gramEnd"/>
      <w:r w:rsidRPr="005924B0">
        <w:rPr>
          <w:rFonts w:ascii="Times New Roman" w:eastAsiaTheme="minorEastAsia" w:hAnsi="Times New Roman" w:cs="Times New Roman"/>
          <w:sz w:val="24"/>
          <w:szCs w:val="24"/>
          <w:lang w:eastAsia="pl-PL"/>
        </w:rPr>
        <w:t xml:space="preserve"> kiedy Inżynier, w celu akceptacji recepty mieszanki mineralno-asfaltowej, zdecyduje się wykonać dodatkowo niezależne badania, Wykonawca dostarczy zgodnie z wymaganiami Inżyniera próbki wszystkich składników mieszanki.</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Zaakceptowana recepta stanowi ważną podstawę produkcji.</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5.3. Wytwarzanie mieszanki mineralno-asfaltowej</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5924B0">
        <w:rPr>
          <w:rFonts w:ascii="Times New Roman" w:eastAsiaTheme="minorEastAsia" w:hAnsi="Times New Roman" w:cs="Times New Roman"/>
          <w:sz w:val="24"/>
          <w:szCs w:val="24"/>
          <w:lang w:eastAsia="pl-PL"/>
        </w:rPr>
        <w:noBreakHyphen/>
        <w:t xml:space="preserve">EN 13108-21 [55].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p>
    <w:p w:rsidR="005924B0" w:rsidRPr="005924B0" w:rsidRDefault="005924B0" w:rsidP="005924B0">
      <w:pPr>
        <w:overflowPunct w:val="0"/>
        <w:autoSpaceDE w:val="0"/>
        <w:autoSpaceDN w:val="0"/>
        <w:spacing w:after="0" w:line="240" w:lineRule="auto"/>
        <w:ind w:firstLine="70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Kruszywo (ewentualnie z wypełniaczem)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24. Najwyższa i najniższa temperatura mieszanki AC </w:t>
      </w:r>
    </w:p>
    <w:tbl>
      <w:tblPr>
        <w:tblW w:w="0" w:type="auto"/>
        <w:tblInd w:w="113" w:type="dxa"/>
        <w:tblCellMar>
          <w:left w:w="0" w:type="dxa"/>
          <w:right w:w="0" w:type="dxa"/>
        </w:tblCellMar>
        <w:tblLook w:val="04A0" w:firstRow="1" w:lastRow="0" w:firstColumn="1" w:lastColumn="0" w:noHBand="0" w:noVBand="1"/>
      </w:tblPr>
      <w:tblGrid>
        <w:gridCol w:w="2371"/>
        <w:gridCol w:w="2590"/>
      </w:tblGrid>
      <w:tr w:rsidR="005924B0" w:rsidRPr="005924B0" w:rsidTr="005924B0">
        <w:tc>
          <w:tcPr>
            <w:tcW w:w="237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Lepiszcze asfaltowe</w:t>
            </w:r>
          </w:p>
        </w:tc>
        <w:tc>
          <w:tcPr>
            <w:tcW w:w="259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mieszanki [°C]</w:t>
            </w:r>
          </w:p>
        </w:tc>
      </w:tr>
      <w:tr w:rsidR="005924B0" w:rsidRPr="005924B0" w:rsidTr="005924B0">
        <w:tc>
          <w:tcPr>
            <w:tcW w:w="23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0" w:line="240" w:lineRule="auto"/>
              <w:jc w:val="both"/>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Asfalt 35/50</w:t>
            </w:r>
          </w:p>
          <w:p w:rsidR="005924B0" w:rsidRPr="005924B0" w:rsidRDefault="005924B0" w:rsidP="005924B0">
            <w:pPr>
              <w:overflowPunct w:val="0"/>
              <w:autoSpaceDE w:val="0"/>
              <w:autoSpaceDN w:val="0"/>
              <w:spacing w:before="60" w:after="0" w:line="240" w:lineRule="auto"/>
              <w:jc w:val="both"/>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Asfalt 50/70</w:t>
            </w:r>
          </w:p>
          <w:p w:rsidR="005924B0" w:rsidRPr="005924B0" w:rsidRDefault="005924B0" w:rsidP="005924B0">
            <w:pPr>
              <w:overflowPunct w:val="0"/>
              <w:autoSpaceDE w:val="0"/>
              <w:autoSpaceDN w:val="0"/>
              <w:spacing w:before="60" w:after="0" w:line="240" w:lineRule="auto"/>
              <w:jc w:val="both"/>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PMB 25/55-60</w:t>
            </w:r>
          </w:p>
          <w:p w:rsidR="005924B0" w:rsidRPr="005924B0" w:rsidRDefault="005924B0" w:rsidP="005924B0">
            <w:pPr>
              <w:overflowPunct w:val="0"/>
              <w:autoSpaceDE w:val="0"/>
              <w:autoSpaceDN w:val="0"/>
              <w:spacing w:before="60" w:after="0" w:line="240" w:lineRule="auto"/>
              <w:jc w:val="both"/>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PMB 25/55-80</w:t>
            </w:r>
          </w:p>
          <w:p w:rsidR="005924B0" w:rsidRPr="005924B0" w:rsidRDefault="005924B0" w:rsidP="005924B0">
            <w:pPr>
              <w:overflowPunct w:val="0"/>
              <w:autoSpaceDE w:val="0"/>
              <w:autoSpaceDN w:val="0"/>
              <w:spacing w:before="60" w:after="0" w:line="240" w:lineRule="auto"/>
              <w:jc w:val="both"/>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lastRenderedPageBreak/>
              <w:t>MG 50/70-54/64</w:t>
            </w:r>
          </w:p>
          <w:p w:rsidR="005924B0" w:rsidRPr="005924B0" w:rsidRDefault="005924B0" w:rsidP="005924B0">
            <w:pPr>
              <w:overflowPunct w:val="0"/>
              <w:autoSpaceDE w:val="0"/>
              <w:autoSpaceDN w:val="0"/>
              <w:spacing w:before="6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val="en-US" w:eastAsia="pl-PL"/>
              </w:rPr>
              <w:t>MG 35/50-57/69</w:t>
            </w:r>
          </w:p>
        </w:tc>
        <w:tc>
          <w:tcPr>
            <w:tcW w:w="259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od 150 do 190</w:t>
            </w:r>
          </w:p>
          <w:p w:rsidR="005924B0" w:rsidRPr="005924B0" w:rsidRDefault="005924B0" w:rsidP="005924B0">
            <w:pPr>
              <w:overflowPunct w:val="0"/>
              <w:autoSpaceDE w:val="0"/>
              <w:autoSpaceDN w:val="0"/>
              <w:spacing w:before="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 140 do 180</w:t>
            </w:r>
          </w:p>
          <w:p w:rsidR="005924B0" w:rsidRPr="005924B0" w:rsidRDefault="005924B0" w:rsidP="005924B0">
            <w:pPr>
              <w:overflowPunct w:val="0"/>
              <w:autoSpaceDE w:val="0"/>
              <w:autoSpaceDN w:val="0"/>
              <w:spacing w:before="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wg wskazań producenta</w:t>
            </w:r>
          </w:p>
          <w:p w:rsidR="005924B0" w:rsidRPr="005924B0" w:rsidRDefault="005924B0" w:rsidP="005924B0">
            <w:pPr>
              <w:overflowPunct w:val="0"/>
              <w:autoSpaceDE w:val="0"/>
              <w:autoSpaceDN w:val="0"/>
              <w:spacing w:before="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wg wskazań producenta</w:t>
            </w:r>
          </w:p>
          <w:p w:rsidR="005924B0" w:rsidRPr="005924B0" w:rsidRDefault="005924B0" w:rsidP="005924B0">
            <w:pPr>
              <w:overflowPunct w:val="0"/>
              <w:autoSpaceDE w:val="0"/>
              <w:autoSpaceDN w:val="0"/>
              <w:spacing w:before="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wg wskazań producenta</w:t>
            </w:r>
          </w:p>
          <w:p w:rsidR="005924B0" w:rsidRPr="005924B0" w:rsidRDefault="005924B0" w:rsidP="005924B0">
            <w:pPr>
              <w:overflowPunct w:val="0"/>
              <w:autoSpaceDE w:val="0"/>
              <w:autoSpaceDN w:val="0"/>
              <w:spacing w:before="6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wg wskazań producenta</w:t>
            </w:r>
          </w:p>
        </w:tc>
      </w:tr>
    </w:tbl>
    <w:p w:rsidR="005924B0" w:rsidRPr="005924B0" w:rsidRDefault="005924B0" w:rsidP="005924B0">
      <w:pPr>
        <w:overflowPunct w:val="0"/>
        <w:autoSpaceDE w:val="0"/>
        <w:autoSpaceDN w:val="0"/>
        <w:spacing w:before="120"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Podana temperatura nie znajduje zastosowania do mieszanek mineralno-asfaltowych, do których jest dodawany dodatek w celu obniżenia temperatury jej wytwarzania i wbudowania lub gdy stosowane lepiszcze asfaltowe zawiera taki środek.</w:t>
      </w:r>
    </w:p>
    <w:p w:rsidR="005924B0" w:rsidRPr="005924B0" w:rsidRDefault="005924B0" w:rsidP="005924B0">
      <w:pPr>
        <w:overflowPunct w:val="0"/>
        <w:autoSpaceDE w:val="0"/>
        <w:autoSpaceDN w:val="0"/>
        <w:spacing w:after="0" w:line="240" w:lineRule="auto"/>
        <w:ind w:firstLine="70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Sposób i czas mieszania należy tak dobrać, aby wszystkie kruszywa zostały w całości, równomiernie otoczone lepiszczem i aby dodatki wmieszały się, tworząc jednolitą mieszankę, kolejność dozowania materiałów do mieszalnika ma duże znaczenie dla jakości produkowanej mieszanki.</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Dopuszcza się dostawy mieszanek mineralno-asfaltowych z kilku wytwórni, pod warunkiem skoordynowania między sobą deklarowanych przydatności mieszanek (m.in.: typ, rodzaj składników, właściwości objętościowe) z zachowaniem dopuszczalnych różnic ich składu:</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zawartość lepiszcza: 0,3% (m/m),</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zawartość kruszywa drobnego: 3,0% (m/m),</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zawartość wypełniacza: 1,0% (m/m).</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Dodatki modyfikujące lub stabilizujące do </w:t>
      </w:r>
      <w:proofErr w:type="gramStart"/>
      <w:r w:rsidRPr="005924B0">
        <w:rPr>
          <w:rFonts w:ascii="Times New Roman" w:eastAsiaTheme="minorEastAsia" w:hAnsi="Times New Roman" w:cs="Times New Roman"/>
          <w:sz w:val="24"/>
          <w:szCs w:val="24"/>
          <w:lang w:eastAsia="pl-PL"/>
        </w:rPr>
        <w:t>mieszanki  mineralno</w:t>
      </w:r>
      <w:proofErr w:type="gramEnd"/>
      <w:r w:rsidRPr="005924B0">
        <w:rPr>
          <w:rFonts w:ascii="Times New Roman" w:eastAsiaTheme="minorEastAsia" w:hAnsi="Times New Roman" w:cs="Times New Roman"/>
          <w:sz w:val="24"/>
          <w:szCs w:val="24"/>
          <w:lang w:eastAsia="pl-PL"/>
        </w:rPr>
        <w:t xml:space="preserve">-asfaltowej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5924B0" w:rsidRPr="005924B0" w:rsidRDefault="005924B0" w:rsidP="005924B0">
      <w:pPr>
        <w:overflowPunct w:val="0"/>
        <w:autoSpaceDE w:val="0"/>
        <w:autoSpaceDN w:val="0"/>
        <w:spacing w:after="0" w:line="240" w:lineRule="auto"/>
        <w:ind w:firstLine="70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Produkcja powinna być tak zaplanowana, aby nie dopuścić do zbyt długiego przechowywania mieszanki w silosach; należy wykluczyć możliwość szkodliwych zmian. </w:t>
      </w:r>
    </w:p>
    <w:p w:rsidR="005924B0" w:rsidRPr="005924B0" w:rsidRDefault="005924B0" w:rsidP="005924B0">
      <w:pPr>
        <w:overflowPunct w:val="0"/>
        <w:autoSpaceDE w:val="0"/>
        <w:autoSpaceDN w:val="0"/>
        <w:spacing w:after="0" w:line="240" w:lineRule="auto"/>
        <w:ind w:firstLine="70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Czas przechowywania – magazynowania </w:t>
      </w:r>
      <w:proofErr w:type="gramStart"/>
      <w:r w:rsidRPr="005924B0">
        <w:rPr>
          <w:rFonts w:ascii="Times New Roman" w:eastAsiaTheme="minorEastAsia" w:hAnsi="Times New Roman" w:cs="Times New Roman"/>
          <w:sz w:val="24"/>
          <w:szCs w:val="24"/>
          <w:lang w:eastAsia="pl-PL"/>
        </w:rPr>
        <w:t>mieszanki  MMA</w:t>
      </w:r>
      <w:proofErr w:type="gramEnd"/>
      <w:r w:rsidRPr="005924B0">
        <w:rPr>
          <w:rFonts w:ascii="Times New Roman" w:eastAsiaTheme="minorEastAsia" w:hAnsi="Times New Roman" w:cs="Times New Roman"/>
          <w:sz w:val="24"/>
          <w:szCs w:val="24"/>
          <w:lang w:eastAsia="pl-PL"/>
        </w:rPr>
        <w:t xml:space="preserve"> powinien uwzględniać możliwości wytwórni (sposób podgrzewania silosów gotowej mieszanki MMA i rodzaj izolacji), warunki atmosferyczne  oraz czas transportu na budowę.</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5.4. Przygotowanie podłoża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Podłoże (podbudowa z kruszywa niezwiązanego lub związanego) pod warstwę podbudowy z betonu asfaltowego powinno być na całej powierzchni:</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ustabilizowane i nośne,</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czyste, bez zanieczyszczenia lub pozostałości luźnego kruszywa,</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wyprofilowane, równe i bez kolein,</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suche,</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skropione emulsją asfaltową lub asfaltem zapewniającym powiązanie warstw.</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Maksymalne nierówności podłoża pod warstwę podbudowy, nie powinny przekraczać wartości podanych w tablicy 25.</w:t>
      </w:r>
    </w:p>
    <w:p w:rsidR="005924B0" w:rsidRPr="005924B0" w:rsidRDefault="005924B0" w:rsidP="005924B0">
      <w:pPr>
        <w:overflowPunct w:val="0"/>
        <w:autoSpaceDE w:val="0"/>
        <w:autoSpaceDN w:val="0"/>
        <w:spacing w:before="120" w:after="120" w:line="240" w:lineRule="auto"/>
        <w:ind w:left="1320" w:hanging="132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25.     Maksymalne nierówności podłoża pod warstwę podbudowy z betonu asfaltowego (pomiar łatą 4-metrową lub równoważną metodą) </w:t>
      </w:r>
    </w:p>
    <w:tbl>
      <w:tblPr>
        <w:tblW w:w="0" w:type="auto"/>
        <w:tblCellMar>
          <w:left w:w="0" w:type="dxa"/>
          <w:right w:w="0" w:type="dxa"/>
        </w:tblCellMar>
        <w:tblLook w:val="04A0" w:firstRow="1" w:lastRow="0" w:firstColumn="1" w:lastColumn="0" w:noHBand="0" w:noVBand="1"/>
      </w:tblPr>
      <w:tblGrid>
        <w:gridCol w:w="1242"/>
        <w:gridCol w:w="5226"/>
        <w:gridCol w:w="2535"/>
      </w:tblGrid>
      <w:tr w:rsidR="005924B0" w:rsidRPr="005924B0" w:rsidTr="005924B0">
        <w:tc>
          <w:tcPr>
            <w:tcW w:w="124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Klasa drogi</w:t>
            </w:r>
          </w:p>
        </w:tc>
        <w:tc>
          <w:tcPr>
            <w:tcW w:w="522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Element nawierzchni</w:t>
            </w:r>
          </w:p>
        </w:tc>
        <w:tc>
          <w:tcPr>
            <w:tcW w:w="253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Maksymalna nierówność podłoża pod warstwę podbudowy [mm]</w:t>
            </w:r>
          </w:p>
        </w:tc>
      </w:tr>
      <w:tr w:rsidR="005924B0" w:rsidRPr="005924B0" w:rsidTr="005924B0">
        <w:tc>
          <w:tcPr>
            <w:tcW w:w="1242"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 S, GP</w:t>
            </w:r>
          </w:p>
        </w:tc>
        <w:tc>
          <w:tcPr>
            <w:tcW w:w="522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Pasy ruchu zasadnicze, awaryjne, dodatkowe,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włączenia i wyłączenia, jezdnie łącznic,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utwardzone pobocza </w:t>
            </w:r>
          </w:p>
        </w:tc>
        <w:tc>
          <w:tcPr>
            <w:tcW w:w="253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522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Jezdnie MOP</w:t>
            </w:r>
          </w:p>
        </w:tc>
        <w:tc>
          <w:tcPr>
            <w:tcW w:w="253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r>
      <w:tr w:rsidR="005924B0" w:rsidRPr="005924B0" w:rsidTr="005924B0">
        <w:tc>
          <w:tcPr>
            <w:tcW w:w="124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 Z</w:t>
            </w:r>
          </w:p>
        </w:tc>
        <w:tc>
          <w:tcPr>
            <w:tcW w:w="522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Pasy ruchu zasadnicze,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xml:space="preserve">dodatkowe, włączenia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i wyłączenia, postojowe,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utwardzone pobocza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253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15</w:t>
            </w:r>
          </w:p>
        </w:tc>
      </w:tr>
      <w:tr w:rsidR="005924B0" w:rsidRPr="005924B0" w:rsidTr="005924B0">
        <w:tc>
          <w:tcPr>
            <w:tcW w:w="124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L, D, place, parkingi</w:t>
            </w:r>
          </w:p>
        </w:tc>
        <w:tc>
          <w:tcPr>
            <w:tcW w:w="522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Wszystkie pasy ruchu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i powierzchnie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przeznaczone do ruchu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i postoju pojazdów </w:t>
            </w:r>
          </w:p>
        </w:tc>
        <w:tc>
          <w:tcPr>
            <w:tcW w:w="253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18</w:t>
            </w:r>
          </w:p>
        </w:tc>
      </w:tr>
    </w:tbl>
    <w:p w:rsidR="005924B0" w:rsidRPr="005924B0" w:rsidRDefault="005924B0" w:rsidP="005924B0">
      <w:pPr>
        <w:overflowPunct w:val="0"/>
        <w:autoSpaceDE w:val="0"/>
        <w:autoSpaceDN w:val="0"/>
        <w:spacing w:before="120"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Jeżeli </w:t>
      </w:r>
      <w:proofErr w:type="gramStart"/>
      <w:r w:rsidRPr="005924B0">
        <w:rPr>
          <w:rFonts w:ascii="Times New Roman" w:eastAsiaTheme="minorEastAsia" w:hAnsi="Times New Roman" w:cs="Times New Roman"/>
          <w:sz w:val="24"/>
          <w:szCs w:val="24"/>
          <w:lang w:eastAsia="pl-PL"/>
        </w:rPr>
        <w:t>nierówności  są</w:t>
      </w:r>
      <w:proofErr w:type="gramEnd"/>
      <w:r w:rsidRPr="005924B0">
        <w:rPr>
          <w:rFonts w:ascii="Times New Roman" w:eastAsiaTheme="minorEastAsia" w:hAnsi="Times New Roman" w:cs="Times New Roman"/>
          <w:sz w:val="24"/>
          <w:szCs w:val="24"/>
          <w:lang w:eastAsia="pl-PL"/>
        </w:rPr>
        <w:t xml:space="preserve"> większe niż dopuszczalne, to należy wyrównać podłoże.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Rzędne wysokościowe podłoża oraz urządzeń usytuowanych w nawierzchni lub ją ograniczających powinny być zgodne z dokumentacją projektową. Z podłoża powinien być zapewniony odpływ wody.</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 celu polepszenia połączenia między warstwami technologicznymi nawierzchni powierzchnia podłoża powinna być w ocenie wizualnej chropowata.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Szerokie szczeliny w podłożu należy wypełnić odpowiednim materiałem, np. zalewami drogowymi według PN-EN 14188-1 [67] lub PN-EN 14188-2 [68] albo innymi materiałami według norm lub aprobat technicznych.</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Przygotowanie podłoża do skropienia em</w:t>
      </w:r>
      <w:r w:rsidR="00071AF0">
        <w:rPr>
          <w:rFonts w:ascii="Times New Roman" w:eastAsiaTheme="minorEastAsia" w:hAnsi="Times New Roman" w:cs="Times New Roman"/>
          <w:sz w:val="24"/>
          <w:szCs w:val="24"/>
          <w:lang w:eastAsia="pl-PL"/>
        </w:rPr>
        <w:t>ulsją należy wykonać zgodnie z ST D-04.03.01</w:t>
      </w:r>
      <w:r w:rsidRPr="005924B0">
        <w:rPr>
          <w:rFonts w:ascii="Times New Roman" w:eastAsiaTheme="minorEastAsia" w:hAnsi="Times New Roman" w:cs="Times New Roman"/>
          <w:sz w:val="24"/>
          <w:szCs w:val="24"/>
          <w:lang w:eastAsia="pl-PL"/>
        </w:rPr>
        <w:t xml:space="preserve"> [2].</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 xml:space="preserve">5.5. Próba technologiczna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Nie dopuszcza się oceniania dokładności pracy otaczarki oraz prawidłowości składu mieszanki mineralnej na podstawie tzw. suchego zarobu, z uwagi na możliwą segregację kruszywa.</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 próby technologicznej Wykonawca użyje takich materiałów, jakie będą stosowane do wykonania właściwej mieszanki mineralno-asfaltowej.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Mieszankę wyprodukowaną po ustabilizowaniu się pracy otaczarki należy zgromadzić w silosie lub załadować na samochód. Próbki do badań należy pobierać ze skrzyni samochodu zgodnie z metodą określoną w PN-EN 12697-27 [44].</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Na podstawie uzyskanych wyników Inżynier podejmuje decyzję o wykonaniu odcinka próbnego.</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5.6. Odcinek próbny</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[44].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przypadku braku innych uzgodnień z Inżynierem, Wykonawca powinien wykonać odcinek próbny co najmniej na trzy dni przed rozpoczęciem robót, w celu:</w:t>
      </w:r>
    </w:p>
    <w:p w:rsidR="005924B0" w:rsidRPr="005924B0" w:rsidRDefault="005924B0" w:rsidP="005924B0">
      <w:pPr>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sprawdzenia czy użyty sprzęt jest właściwy,</w:t>
      </w:r>
    </w:p>
    <w:p w:rsidR="005924B0" w:rsidRPr="005924B0" w:rsidRDefault="005924B0" w:rsidP="005924B0">
      <w:pPr>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określenia grubości warstwy mieszanki mineralno-asfaltowej przed zagęszczeniem, koniecznej do uzyskania wymaganej w kontrakcie grubości warstwy,</w:t>
      </w:r>
    </w:p>
    <w:p w:rsidR="005924B0" w:rsidRPr="005924B0" w:rsidRDefault="005924B0" w:rsidP="005924B0">
      <w:pPr>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określenia potrzebnej liczby przejść walców dla uzyskania prawidłowego zagęszczenia warstwy.</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 takiej próby Wykonawca powinien użyć takich materiałów oraz sprzętu, jaki stosowany będzie do wykonania warstwy nawierzchni.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Odcinek próbny powinien być zlokalizowany w miejscu uzgodnionym z Inżynierem. Powierzchnia odcinka próbnego powinna wynosić co najmniej 500 m</w:t>
      </w:r>
      <w:r w:rsidRPr="005924B0">
        <w:rPr>
          <w:rFonts w:ascii="Times New Roman" w:eastAsiaTheme="minorEastAsia" w:hAnsi="Times New Roman" w:cs="Times New Roman"/>
          <w:sz w:val="24"/>
          <w:szCs w:val="24"/>
          <w:vertAlign w:val="superscript"/>
          <w:lang w:eastAsia="pl-PL"/>
        </w:rPr>
        <w:t>2</w:t>
      </w:r>
      <w:r w:rsidRPr="005924B0">
        <w:rPr>
          <w:rFonts w:ascii="Times New Roman" w:eastAsiaTheme="minorEastAsia" w:hAnsi="Times New Roman" w:cs="Times New Roman"/>
          <w:sz w:val="24"/>
          <w:szCs w:val="24"/>
          <w:lang w:eastAsia="pl-PL"/>
        </w:rPr>
        <w:t>, a długość co najmniej 50 m i powinny być tak dobrane, aby na jego podstawie możliwa była ocena prawidłowości wbudowania i zagęszczenia mieszanki mineralno-asfaltowej.</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Grubość układanej warstwy powinna być zgodna z grubością podaną w dokumentacji projektowej. </w:t>
      </w:r>
      <w:proofErr w:type="gramStart"/>
      <w:r w:rsidRPr="005924B0">
        <w:rPr>
          <w:rFonts w:ascii="Times New Roman" w:eastAsiaTheme="minorEastAsia" w:hAnsi="Times New Roman" w:cs="Times New Roman"/>
          <w:sz w:val="24"/>
          <w:szCs w:val="24"/>
          <w:lang w:eastAsia="pl-PL"/>
        </w:rPr>
        <w:t>Ilość  próbek</w:t>
      </w:r>
      <w:proofErr w:type="gramEnd"/>
      <w:r w:rsidRPr="005924B0">
        <w:rPr>
          <w:rFonts w:ascii="Times New Roman" w:eastAsiaTheme="minorEastAsia" w:hAnsi="Times New Roman" w:cs="Times New Roman"/>
          <w:sz w:val="24"/>
          <w:szCs w:val="24"/>
          <w:lang w:eastAsia="pl-PL"/>
        </w:rPr>
        <w:t xml:space="preserve"> (rdzeni) pobrana z odcinka próbnego powinna być uzgodniona z Inżynierem i oceniona pod względem zgodności z wymaganiami niniejszej specyfikacji. Należy pobrać minimum w dwóch przekrojach poprzecznych po dwie próbki (rdzenie).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Dopuszcza się, aby za zgodą Inżyniera, odcinek próbny zlokalizowany był w ciągu zasadniczych prac nawierzchniowych objętych danym kontraktem.</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Wykonawca może przystąpić do realizacji robót po zaakceptowaniu przez Inżyniera technologii wbudowania oraz wyników z odcinka próbnego.</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5.7. Połączenie międzywarstwowe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Uzyskanie wymaganej trwałości nawierzchni jest uzależnione od zapewnienia połączenia między warstwami i ich współpracy w przenoszeniu obciążenia nawierzchni ruchem.</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Podłoże powinno być skropione lepiszczem. Ma to na celu zwiększenie połączenia między warstwami konstrukcyjnymi oraz zabezpieczenie przed wnikaniem i zaleganiem wody między warstwami. Można odstąpić od wykonania skropienia przy rozkładaniu dwóch warstw asfaltowych w jednym cyklu technologicznym (tzw. połączenia gorące na gorące).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Warunki wykonania połączenia międzywarstwowego oraz kontrola wykonania skro</w:t>
      </w:r>
      <w:r w:rsidR="00071AF0">
        <w:rPr>
          <w:rFonts w:ascii="Times New Roman" w:eastAsiaTheme="minorEastAsia" w:hAnsi="Times New Roman" w:cs="Times New Roman"/>
          <w:sz w:val="24"/>
          <w:szCs w:val="24"/>
          <w:lang w:eastAsia="pl-PL"/>
        </w:rPr>
        <w:t xml:space="preserve">pienia zostały przedstawione w </w:t>
      </w:r>
      <w:r w:rsidRPr="005924B0">
        <w:rPr>
          <w:rFonts w:ascii="Times New Roman" w:eastAsiaTheme="minorEastAsia" w:hAnsi="Times New Roman" w:cs="Times New Roman"/>
          <w:sz w:val="24"/>
          <w:szCs w:val="24"/>
          <w:lang w:eastAsia="pl-PL"/>
        </w:rPr>
        <w:t>ST D-04.03.01 [2].</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 xml:space="preserve">5.8. Wbudowanie mieszanki mineralno-asfaltowej </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Przy doborze rodzaju mieszanki mineralno-asfaltowej do układu warstw konstrukcyjnych należy zachować zasadę mówiącą, że grubość warstwy musi być co najmniej dwuipółkrotnie większa od wymiaru D kruszywa danej mieszanki (h ≥ 2,5xD).</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Jeżeli warstwa nawierzchni według dokumentacji projektowej jest zbyt gruba, aby można było ją rozłożyć i zagęścić w pojedynczej operacji, to warstwa ta może się składać z </w:t>
      </w:r>
      <w:r w:rsidRPr="005924B0">
        <w:rPr>
          <w:rFonts w:ascii="Times New Roman" w:eastAsiaTheme="minorEastAsia" w:hAnsi="Times New Roman" w:cs="Times New Roman"/>
          <w:sz w:val="24"/>
          <w:szCs w:val="24"/>
          <w:lang w:eastAsia="pl-PL"/>
        </w:rPr>
        <w:lastRenderedPageBreak/>
        <w:t xml:space="preserve">dwóch warstw technologicznych, z których każda zostaje rozłożona i zagęszczona w odrębnej operacji. Należy zapewnić pełne połączenie między tymi warstwami zgodnie z pkt.5.7.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Mieszankę mineralno-asfaltową można wbudowywać na podłożu przygotowanym zgodnie z zapisami w punktach 5.4 i 5.7.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Temperatura podłoża pod rozkładaną warstwę nie może być niższa </w:t>
      </w:r>
      <w:proofErr w:type="gramStart"/>
      <w:r w:rsidRPr="005924B0">
        <w:rPr>
          <w:rFonts w:ascii="Times New Roman" w:eastAsiaTheme="minorEastAsia" w:hAnsi="Times New Roman" w:cs="Times New Roman"/>
          <w:sz w:val="24"/>
          <w:szCs w:val="24"/>
          <w:lang w:eastAsia="pl-PL"/>
        </w:rPr>
        <w:t>niż  +</w:t>
      </w:r>
      <w:proofErr w:type="gramEnd"/>
      <w:r w:rsidRPr="005924B0">
        <w:rPr>
          <w:rFonts w:ascii="Times New Roman" w:eastAsiaTheme="minorEastAsia" w:hAnsi="Times New Roman" w:cs="Times New Roman"/>
          <w:sz w:val="24"/>
          <w:szCs w:val="24"/>
          <w:lang w:eastAsia="pl-PL"/>
        </w:rPr>
        <w:t>5°C.</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Transport mieszanki mineralno-asfaltowej asfaltowej powinien być zgodny z zaleceniami podanymi w punkcie 4.2.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Prace związane z wbudowaniem mieszanki mineralno-asfaltowej należy tak zaplanować, </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aby: </w:t>
      </w:r>
    </w:p>
    <w:p w:rsidR="005924B0" w:rsidRPr="005924B0" w:rsidRDefault="005924B0" w:rsidP="005924B0">
      <w:pPr>
        <w:autoSpaceDE w:val="0"/>
        <w:autoSpaceDN w:val="0"/>
        <w:spacing w:after="0" w:line="240" w:lineRule="auto"/>
        <w:ind w:left="284" w:hanging="21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5924B0" w:rsidRPr="005924B0" w:rsidRDefault="005924B0" w:rsidP="005924B0">
      <w:pPr>
        <w:autoSpaceDE w:val="0"/>
        <w:autoSpaceDN w:val="0"/>
        <w:spacing w:after="0" w:line="240" w:lineRule="auto"/>
        <w:ind w:left="284" w:hanging="21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 xml:space="preserve">dzienne działki robocze (tj. odcinki nawierzchni na których mieszanka mineralno-asfaltowa jest wbudowywana jednego dnia) powinny być możliwie jak najdłuższe min. 200 m, </w:t>
      </w:r>
    </w:p>
    <w:p w:rsidR="005924B0" w:rsidRPr="005924B0" w:rsidRDefault="005924B0" w:rsidP="005924B0">
      <w:pPr>
        <w:autoSpaceDE w:val="0"/>
        <w:autoSpaceDN w:val="0"/>
        <w:spacing w:after="0" w:line="240" w:lineRule="auto"/>
        <w:ind w:left="284" w:hanging="218"/>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 xml:space="preserve">organizacja dostaw mieszanki powinna zapewnić pracę rozkładarki bez zatrzymań.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Mieszankę mineralno-asfaltową asfaltową należy wbudowywać w odpowiednich warunkach atmosferycznych.  Nie wolno wbudowywać betonu </w:t>
      </w:r>
      <w:proofErr w:type="gramStart"/>
      <w:r w:rsidRPr="005924B0">
        <w:rPr>
          <w:rFonts w:ascii="Times New Roman" w:eastAsiaTheme="minorEastAsia" w:hAnsi="Times New Roman" w:cs="Times New Roman"/>
          <w:sz w:val="24"/>
          <w:szCs w:val="24"/>
          <w:lang w:eastAsia="pl-PL"/>
        </w:rPr>
        <w:t>asfaltowego  gdy</w:t>
      </w:r>
      <w:proofErr w:type="gramEnd"/>
      <w:r w:rsidRPr="005924B0">
        <w:rPr>
          <w:rFonts w:ascii="Times New Roman" w:eastAsiaTheme="minorEastAsia" w:hAnsi="Times New Roman" w:cs="Times New Roman"/>
          <w:sz w:val="24"/>
          <w:szCs w:val="24"/>
          <w:lang w:eastAsia="pl-PL"/>
        </w:rPr>
        <w:t xml:space="preserve"> na podłożu tworzy się zamknięty film wodny.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Temperatura otoczenia w ciągu doby nie powinna być niższa od temperatury podanej w tablicy 26. Temperatura otoczenia może być niższa w wypadku stosowania ogrzewania podłoża i obramowania (np. promienniki podczerwieni, urządzenia mikrofalowe). </w:t>
      </w:r>
      <w:r w:rsidRPr="005924B0">
        <w:rPr>
          <w:rFonts w:ascii="Times New Roman" w:eastAsiaTheme="minorEastAsia" w:hAnsi="Times New Roman" w:cs="Times New Roman"/>
          <w:color w:val="000000"/>
          <w:sz w:val="24"/>
          <w:szCs w:val="24"/>
          <w:lang w:eastAsia="pl-PL"/>
        </w:rPr>
        <w:t>Temperatura powietrza powinna być mierzona co najmniej 3 razy dziennie: przed przystąpieniem do robót oraz podczas ich wykonywania w okresach równomiernie rozłożonych w planowanym czasie realizacji dziennej działki roboczej.</w:t>
      </w:r>
      <w:r w:rsidRPr="005924B0">
        <w:rPr>
          <w:rFonts w:ascii="Times New Roman" w:eastAsiaTheme="minorEastAsia" w:hAnsi="Times New Roman" w:cs="Times New Roman"/>
          <w:sz w:val="24"/>
          <w:szCs w:val="24"/>
          <w:lang w:eastAsia="pl-PL"/>
        </w:rPr>
        <w:t xml:space="preserve"> Nie dopuszcza się układania mieszanki mineralno-asfaltowej asfaltowej podczas silnego wiatru (V &gt; 16 m/s) oraz opadów atmosferycznych.</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Podczas budowy nawierzchni należy dążyć do ułożenia wszystkich warstw przed sezonem zimowym, aby zapewnić szczelność nawierzchni i jej odporność na działanie wody i mrozu. Jeżeli w wyjątkowym przypadku zachodzi konieczność pozostawienia na zimę warstwy podbudowy, to należy ją powierzchniowo uszczelnić w celu zabezpieczenia przed szkodliwym działaniem wody, mrozu i ewentualnie środków odladzających.</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 wypadku stosowania mieszanek mineralno-asfaltowych z dodatkiem obniżającym temperaturę mieszania i wbudowania należy indywidualnie określić wymagane warunki otoczenia. </w:t>
      </w:r>
    </w:p>
    <w:p w:rsidR="005924B0" w:rsidRPr="005924B0" w:rsidRDefault="005924B0" w:rsidP="005924B0">
      <w:pPr>
        <w:overflowPunct w:val="0"/>
        <w:autoSpaceDE w:val="0"/>
        <w:autoSpaceDN w:val="0"/>
        <w:spacing w:before="120" w:after="120" w:line="240" w:lineRule="auto"/>
        <w:ind w:left="1200" w:hanging="120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26. Minimalna temperatura otoczenia na wysokości 2 m podczas wykonywania warstw asfaltowych</w:t>
      </w:r>
    </w:p>
    <w:tbl>
      <w:tblPr>
        <w:tblW w:w="0" w:type="auto"/>
        <w:tblInd w:w="108" w:type="dxa"/>
        <w:tblCellMar>
          <w:left w:w="0" w:type="dxa"/>
          <w:right w:w="0" w:type="dxa"/>
        </w:tblCellMar>
        <w:tblLook w:val="04A0" w:firstRow="1" w:lastRow="0" w:firstColumn="1" w:lastColumn="0" w:noHBand="0" w:noVBand="1"/>
      </w:tblPr>
      <w:tblGrid>
        <w:gridCol w:w="3960"/>
        <w:gridCol w:w="4111"/>
      </w:tblGrid>
      <w:tr w:rsidR="005924B0" w:rsidRPr="005924B0" w:rsidTr="005924B0">
        <w:trPr>
          <w:trHeight w:val="562"/>
        </w:trPr>
        <w:tc>
          <w:tcPr>
            <w:tcW w:w="3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Rodzaj robót</w:t>
            </w:r>
          </w:p>
        </w:tc>
        <w:tc>
          <w:tcPr>
            <w:tcW w:w="411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12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Minimalna temperatura </w:t>
            </w:r>
            <w:proofErr w:type="gramStart"/>
            <w:r w:rsidRPr="005924B0">
              <w:rPr>
                <w:rFonts w:ascii="Times New Roman" w:eastAsiaTheme="minorEastAsia" w:hAnsi="Times New Roman" w:cs="Times New Roman"/>
                <w:sz w:val="24"/>
                <w:szCs w:val="24"/>
                <w:lang w:eastAsia="pl-PL"/>
              </w:rPr>
              <w:t>powietrza  [</w:t>
            </w:r>
            <w:proofErr w:type="gramEnd"/>
            <w:r w:rsidRPr="005924B0">
              <w:rPr>
                <w:rFonts w:ascii="Times New Roman" w:eastAsiaTheme="minorEastAsia" w:hAnsi="Times New Roman" w:cs="Times New Roman"/>
                <w:sz w:val="24"/>
                <w:szCs w:val="24"/>
                <w:lang w:eastAsia="pl-PL"/>
              </w:rPr>
              <w:t>°C]</w:t>
            </w:r>
          </w:p>
        </w:tc>
      </w:tr>
      <w:tr w:rsidR="005924B0" w:rsidRPr="005924B0" w:rsidTr="005924B0">
        <w:tc>
          <w:tcPr>
            <w:tcW w:w="39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40" w:after="4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Podbudowa</w:t>
            </w:r>
          </w:p>
        </w:tc>
        <w:tc>
          <w:tcPr>
            <w:tcW w:w="411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0°C (-3°C*)  </w:t>
            </w:r>
          </w:p>
        </w:tc>
      </w:tr>
    </w:tbl>
    <w:p w:rsidR="005924B0" w:rsidRPr="005924B0" w:rsidRDefault="005924B0" w:rsidP="005924B0">
      <w:pPr>
        <w:overflowPunct w:val="0"/>
        <w:autoSpaceDE w:val="0"/>
        <w:autoSpaceDN w:val="0"/>
        <w:spacing w:after="0" w:line="240" w:lineRule="auto"/>
        <w:ind w:left="284" w:hanging="284"/>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Do decyzji Inżyniera, przy czym temperatura podłoża powinna wynosić co najmniej 5°C.      </w:t>
      </w:r>
    </w:p>
    <w:p w:rsidR="005924B0" w:rsidRPr="005924B0" w:rsidRDefault="005924B0" w:rsidP="005924B0">
      <w:pPr>
        <w:overflowPunct w:val="0"/>
        <w:autoSpaceDE w:val="0"/>
        <w:autoSpaceDN w:val="0"/>
        <w:spacing w:before="120"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Mieszanka mineralno-asfaltowa powinna być wbudowywana rozkładarką wyposażoną w układ automatycznego sterowania grubości warstwy i utrzymywania niwelety zgodnie z dokumentacją projektową. W miejscach niedostępnych dla sprzętu dopuszcza się wbudowywanie ręczne.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Grubość wykonywanej warstwy powinna być sprawdzana co 25 m, w co najmniej trzech miejscach (w osi i przy brzegach warstwy).</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xml:space="preserve">            Warstwy wałowane powinny być równomiernie zagęszczone ciężkimi walcami drogowymi. Do warstw z betonu asfaltowego należy stosować walce drogowe stalowe gładkie z możliwością wibracji, oscylacji lub walce ogumione.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 wykonanych warstwach podbudowy i warstwie wiążącej powinien odbywać się wyłącznie ruch pojazdów związanych z układaniem następnej warstwy. W przypadku konieczności dopuszczenia innego ruchu należy zastosować zabiegi zabezpieczające uzyskanie wymaganego połączenia międzywarstwowego.</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bookmarkStart w:id="20" w:name="_Toc413234108"/>
      <w:r w:rsidRPr="005924B0">
        <w:rPr>
          <w:rFonts w:ascii="Times New Roman" w:eastAsia="Times New Roman" w:hAnsi="Times New Roman" w:cs="Times New Roman"/>
          <w:b/>
          <w:bCs/>
          <w:sz w:val="24"/>
          <w:szCs w:val="24"/>
          <w:lang w:eastAsia="pl-PL"/>
        </w:rPr>
        <w:t>5.9. Połączenia technologiczne</w:t>
      </w:r>
      <w:bookmarkEnd w:id="20"/>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Połączenia technologiczne należy wykonywać jako</w:t>
      </w:r>
    </w:p>
    <w:p w:rsidR="005924B0" w:rsidRPr="005924B0" w:rsidRDefault="005924B0" w:rsidP="005924B0">
      <w:pPr>
        <w:overflowPunct w:val="0"/>
        <w:autoSpaceDE w:val="0"/>
        <w:autoSpaceDN w:val="0"/>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złącza podłużne i poprzeczne (wg definicji p. 1.4.17.),</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Połączenia technologiczne powinny być jednorodne i szczelne.   </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5.9.1.</w:t>
      </w:r>
      <w:r w:rsidRPr="005924B0">
        <w:rPr>
          <w:rFonts w:ascii="Times New Roman" w:eastAsiaTheme="minorEastAsia" w:hAnsi="Times New Roman" w:cs="Times New Roman"/>
          <w:sz w:val="24"/>
          <w:szCs w:val="24"/>
          <w:lang w:eastAsia="pl-PL"/>
        </w:rPr>
        <w:t xml:space="preserve"> Wykonanie złączy</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5.9.1.1. Sposób wykonania złączy - wymagania ogólne</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Złącza w warstwach nawierzchni powinny być wykonywane w linii prostej.</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Złącza podłużnego nie można umiejscawiać w śladach kół.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Złącza powinny być całkowicie związane, a powierzchnie przylegających warstw powinny być w jednym poziomie.</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5.9.1.2. Technologia rozkładania „gorące przy gorącym”</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Walce zagęszczające mieszankę za każdą rozkładarką powinny być o zbliżonych parametrach. Zagęszczanie każdego z pasów należy rozpoczynać od zewnętrznej krawędzi pasa i stopniowo zagęszczać pas w kierunku złącza.</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Przy tej metodzie nie stosuje się dodatkowych materiałów do złączy.</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5.9.1.3. Technologia rozkładania „gorące przy zimnym” </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Jeżeli skos nie został uformowany „na gorąco”, należy uzyskać go przez frezowanie zimnego pasa, z zachowaniem wymaganego kąta. Powierzchnia styku powinna być czysta i sucha. Przed ułożeniem sąsiedniego pasa całą powierzchnię styku należy pokryć przylepną </w:t>
      </w:r>
      <w:r w:rsidRPr="005924B0">
        <w:rPr>
          <w:rFonts w:ascii="Times New Roman" w:eastAsiaTheme="minorEastAsia" w:hAnsi="Times New Roman" w:cs="Times New Roman"/>
          <w:sz w:val="24"/>
          <w:szCs w:val="24"/>
          <w:lang w:eastAsia="pl-PL"/>
        </w:rPr>
        <w:lastRenderedPageBreak/>
        <w:t xml:space="preserve">taśmą bitumiczną lub pastą zgodnie z wymaganiami i w ilości podanej w punktach </w:t>
      </w:r>
      <w:proofErr w:type="gramStart"/>
      <w:r w:rsidRPr="005924B0">
        <w:rPr>
          <w:rFonts w:ascii="Times New Roman" w:eastAsiaTheme="minorEastAsia" w:hAnsi="Times New Roman" w:cs="Times New Roman"/>
          <w:sz w:val="24"/>
          <w:szCs w:val="24"/>
          <w:lang w:eastAsia="pl-PL"/>
        </w:rPr>
        <w:t>5.9.1.5.  i</w:t>
      </w:r>
      <w:proofErr w:type="gramEnd"/>
      <w:r w:rsidRPr="005924B0">
        <w:rPr>
          <w:rFonts w:ascii="Times New Roman" w:eastAsiaTheme="minorEastAsia" w:hAnsi="Times New Roman" w:cs="Times New Roman"/>
          <w:sz w:val="24"/>
          <w:szCs w:val="24"/>
          <w:lang w:eastAsia="pl-PL"/>
        </w:rPr>
        <w:t xml:space="preserve"> 5.9.1.6.</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Drugi pas powinien być wykonywany z zakładem 2-3 cm licząc od górnej krawędzi złącza, zachodzącym na pas wykonany wcześniej.</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5.9.1.4. Zakończenie działki roboczej </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Zakończenie działki roboczej należy wykonać w sposób i przy pomocy urządzeń zapewniających uzyskanie nieregularnej powierzchni spoiny (przy pomocy wstawianej kantówki lub frezarki). Zakończenie działki roboczej należy wykonać prostopadle do osi drogi. Krawędź działki roboczej jest równocześnie krawędzią poprzeczną złącza.</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Złącza poprzeczne między działkami roboczymi układanych pasów kolejnych warstw technologicznych należy przesunąć względem siebie o co najmniej 3 m w kierunku podłużnym do osi jezdni.</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5.9.1.5.</w:t>
      </w:r>
      <w:r w:rsidRPr="005924B0">
        <w:rPr>
          <w:rFonts w:ascii="Times New Roman" w:eastAsiaTheme="minorEastAsia" w:hAnsi="Times New Roman" w:cs="Times New Roman"/>
          <w:b/>
          <w:bCs/>
          <w:sz w:val="24"/>
          <w:szCs w:val="24"/>
          <w:lang w:eastAsia="pl-PL"/>
        </w:rPr>
        <w:t xml:space="preserve"> </w:t>
      </w:r>
      <w:r w:rsidRPr="005924B0">
        <w:rPr>
          <w:rFonts w:ascii="Times New Roman" w:eastAsiaTheme="minorEastAsia" w:hAnsi="Times New Roman" w:cs="Times New Roman"/>
          <w:sz w:val="24"/>
          <w:szCs w:val="24"/>
          <w:lang w:eastAsia="pl-PL"/>
        </w:rPr>
        <w:t>Wymagania wobec wbudowania taśm bitumicznych</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Minimalna wysokość taśmy wynosi 4 cm. Grubość taśmy powinna wynosić 10 mm.</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Krawędź boczna złącza podłużnego powinna być uformowana zgodnie z opisem w punkcie 5.9.1.3. Krawędź boczna złącza poprzecznego powinna być uformowana w taki sposób i za pomocą urządzeń umożliwiających uzyskanie nieregularnej powierzchni.</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Powierzchnie krawędzi do których klejona będzie taśma, powinny być czyste i suche. Przed przyklejeniem taśmy w metodzie „gorące przy zimnym”, krawędzie „zimnej” warstwy na całkowitej grubości, należy zagruntować zgodnie z zaleceniami producenta</w:t>
      </w:r>
    </w:p>
    <w:p w:rsidR="005924B0" w:rsidRPr="005924B0" w:rsidRDefault="005924B0" w:rsidP="005924B0">
      <w:pPr>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taśmy.</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Taśma bitumiczna powinna być wstępnie przyklejona do zimnej krawędzi złącza pokrywając 2/3 wysokości warstwy licząc od górnej powierzchni.</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5.9.1.6.</w:t>
      </w:r>
      <w:r w:rsidRPr="005924B0">
        <w:rPr>
          <w:rFonts w:ascii="Times New Roman" w:eastAsiaTheme="minorEastAsia" w:hAnsi="Times New Roman" w:cs="Times New Roman"/>
          <w:b/>
          <w:bCs/>
          <w:sz w:val="24"/>
          <w:szCs w:val="24"/>
          <w:lang w:eastAsia="pl-PL"/>
        </w:rPr>
        <w:t xml:space="preserve"> </w:t>
      </w:r>
      <w:r w:rsidRPr="005924B0">
        <w:rPr>
          <w:rFonts w:ascii="Times New Roman" w:eastAsiaTheme="minorEastAsia" w:hAnsi="Times New Roman" w:cs="Times New Roman"/>
          <w:sz w:val="24"/>
          <w:szCs w:val="24"/>
          <w:lang w:eastAsia="pl-PL"/>
        </w:rPr>
        <w:t>Wymagania wobec wbudowywania past bitumicznych</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Przygotowanie krawędzi bocznych jak w przypadku stosowania taśm bitumicznych.</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Pasta powinna być nanoszona mechanicznie z zapewnieniem równomiernego jej rozprowadzenia na bocznej krawędzi w ilości 3 - 4 kg/m</w:t>
      </w:r>
      <w:r w:rsidRPr="005924B0">
        <w:rPr>
          <w:rFonts w:ascii="Times New Roman" w:eastAsiaTheme="minorEastAsia" w:hAnsi="Times New Roman" w:cs="Times New Roman"/>
          <w:sz w:val="24"/>
          <w:szCs w:val="24"/>
          <w:vertAlign w:val="superscript"/>
          <w:lang w:eastAsia="pl-PL"/>
        </w:rPr>
        <w:t>2</w:t>
      </w:r>
      <w:r w:rsidRPr="005924B0">
        <w:rPr>
          <w:rFonts w:ascii="Times New Roman" w:eastAsiaTheme="minorEastAsia" w:hAnsi="Times New Roman" w:cs="Times New Roman"/>
          <w:sz w:val="24"/>
          <w:szCs w:val="24"/>
          <w:lang w:eastAsia="pl-PL"/>
        </w:rPr>
        <w:t xml:space="preserve"> (warstwa o grubości 3 - 4 mm przy gęstości około 1,0 g/cm</w:t>
      </w:r>
      <w:r w:rsidRPr="005924B0">
        <w:rPr>
          <w:rFonts w:ascii="Times New Roman" w:eastAsiaTheme="minorEastAsia" w:hAnsi="Times New Roman" w:cs="Times New Roman"/>
          <w:sz w:val="24"/>
          <w:szCs w:val="24"/>
          <w:vertAlign w:val="superscript"/>
          <w:lang w:eastAsia="pl-PL"/>
        </w:rPr>
        <w:t>3</w:t>
      </w:r>
      <w:r w:rsidRPr="005924B0">
        <w:rPr>
          <w:rFonts w:ascii="Times New Roman" w:eastAsiaTheme="minorEastAsia" w:hAnsi="Times New Roman" w:cs="Times New Roman"/>
          <w:sz w:val="24"/>
          <w:szCs w:val="24"/>
          <w:lang w:eastAsia="pl-PL"/>
        </w:rPr>
        <w:t>).</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Dopuszcza się ręczne nanoszenie past w miejscach niedostępnych.</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 xml:space="preserve">5.10. Krawędzie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przypadku warstw nawierzchni bez urządzeń ograniczających (np. krawężników) krawędziom należy nadać spadki o nachyleniu nie większym niż 2:1, przy pomocy rolki dociskowej mocowanej do walca lub elementu mocowanego do rozkładarki tzw „buta” („na gorąco”).</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Jeżeli krawędzie nie zostały uformowane na gorąco krawędzie należy wyfrezować na zimno.</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 wykonaniu nawierzchni asfaltowej o jednostronnym nachyleniu jezdni należy uszczelnić krawędź położoną wyżej (niżej położona krawędź powinna zostać nieuszczelniona).</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przypadku nawierzchni o dwustronnym nachyleniu (przekrój daszkowy) decyzję o potrzebie i sposobie uszczelnienia krawędzi zewnętrznych podejmie Projektant w uzgodnieniu z Inżynierem.</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Krawędzie zewnętrzne oraz powierzchnie odsadzek poziomych należy uszczelnić przez pokrycie gorącym asfaltem w ilości:</w:t>
      </w:r>
    </w:p>
    <w:p w:rsidR="005924B0" w:rsidRPr="005924B0" w:rsidRDefault="005924B0" w:rsidP="005924B0">
      <w:pPr>
        <w:autoSpaceDE w:val="0"/>
        <w:autoSpaceDN w:val="0"/>
        <w:spacing w:after="0" w:line="240" w:lineRule="auto"/>
        <w:ind w:left="426"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powierzchnie odsadzek - 1,5 kg/m2,</w:t>
      </w:r>
    </w:p>
    <w:p w:rsidR="005924B0" w:rsidRPr="005924B0" w:rsidRDefault="005924B0" w:rsidP="005924B0">
      <w:pPr>
        <w:autoSpaceDE w:val="0"/>
        <w:autoSpaceDN w:val="0"/>
        <w:spacing w:after="0" w:line="240" w:lineRule="auto"/>
        <w:ind w:left="426"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krawędzie zewnętrzne - 4 kg/m2.</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Gorący asfalt może być nanoszony w kilku przejściach roboczych. Do uszczelniania krawędzi zewnętrznych należy stosować asfalt drogowy według PN-EN 12591 [24], asfalt </w:t>
      </w:r>
      <w:r w:rsidRPr="005924B0">
        <w:rPr>
          <w:rFonts w:ascii="Times New Roman" w:eastAsiaTheme="minorEastAsia" w:hAnsi="Times New Roman" w:cs="Times New Roman"/>
          <w:sz w:val="24"/>
          <w:szCs w:val="24"/>
          <w:lang w:eastAsia="pl-PL"/>
        </w:rPr>
        <w:lastRenderedPageBreak/>
        <w:t>modyfikowany polimerami według PN-EN 14023[66], asfalt wielorodzajowy wg PN-EN 13924-2[65], albo inne lepiszcza według norm lub aprobat technicznych. Uszczelnienie krawędzi zewnętrznej należy wykonać gorącym lepiszczem.</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Lepiszcze powinno być naniesione odpowiednio szybko tak, aby krawędzie nie uległy zabrudzeniu. Niżej położona krawędź (z wyjątkiem strefy zmiany przechyłki) powinna pozostać nieuszczelniona.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21" w:name="_Toc461543723"/>
      <w:r w:rsidRPr="005924B0">
        <w:rPr>
          <w:rFonts w:ascii="Times New Roman" w:eastAsia="Times New Roman" w:hAnsi="Times New Roman" w:cs="Times New Roman"/>
          <w:b/>
          <w:bCs/>
          <w:caps/>
          <w:kern w:val="36"/>
          <w:sz w:val="24"/>
          <w:szCs w:val="24"/>
          <w:lang w:eastAsia="pl-PL"/>
        </w:rPr>
        <w:t>6. Kontrola jakości robót</w:t>
      </w:r>
      <w:bookmarkEnd w:id="21"/>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6.1. Ogólne zasady kontroli jakości robót</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Ogólne zasady k</w:t>
      </w:r>
      <w:r w:rsidR="00071AF0">
        <w:rPr>
          <w:rFonts w:ascii="Times New Roman" w:eastAsiaTheme="minorEastAsia" w:hAnsi="Times New Roman" w:cs="Times New Roman"/>
          <w:sz w:val="24"/>
          <w:szCs w:val="24"/>
          <w:lang w:eastAsia="pl-PL"/>
        </w:rPr>
        <w:t xml:space="preserve">ontroli jakości robót podano w </w:t>
      </w:r>
      <w:r w:rsidRPr="005924B0">
        <w:rPr>
          <w:rFonts w:ascii="Times New Roman" w:eastAsiaTheme="minorEastAsia" w:hAnsi="Times New Roman" w:cs="Times New Roman"/>
          <w:sz w:val="24"/>
          <w:szCs w:val="24"/>
          <w:lang w:eastAsia="pl-PL"/>
        </w:rPr>
        <w:t>ST   D-M-00.00.00 „Wymagania ogólne” [1] pkt 6.</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6.2. Badania przed przystąpieniem do robót</w:t>
      </w:r>
    </w:p>
    <w:p w:rsidR="005924B0" w:rsidRPr="005924B0" w:rsidRDefault="005924B0" w:rsidP="005924B0">
      <w:pPr>
        <w:overflowPunct w:val="0"/>
        <w:autoSpaceDE w:val="0"/>
        <w:autoSpaceDN w:val="0"/>
        <w:spacing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6.2.1.</w:t>
      </w:r>
      <w:r w:rsidRPr="005924B0">
        <w:rPr>
          <w:rFonts w:ascii="Times New Roman" w:eastAsiaTheme="minorEastAsia" w:hAnsi="Times New Roman" w:cs="Times New Roman"/>
          <w:sz w:val="24"/>
          <w:szCs w:val="24"/>
          <w:lang w:eastAsia="pl-PL"/>
        </w:rPr>
        <w:t xml:space="preserve"> Dokumenty i wyniki badań materiałów</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Przed przystąpieniem do robót Wykonawca powinien: </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ew. wykonać własne badania właściwości materiałów przeznaczonych do wykonania robót, określone przez Inżyniera.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Wszystkie dokumenty oraz wyniki badań Wykonawca przedstawia Inżynierowi do akceptacji.</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W przypadku zmiany rodzaju i właściwości materiałów budowlanych należy ponownie wykazać ich przydatność do przewidywanego celu.  </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6.2.2.</w:t>
      </w:r>
      <w:r w:rsidRPr="005924B0">
        <w:rPr>
          <w:rFonts w:ascii="Times New Roman" w:eastAsiaTheme="minorEastAsia" w:hAnsi="Times New Roman" w:cs="Times New Roman"/>
          <w:sz w:val="24"/>
          <w:szCs w:val="24"/>
          <w:lang w:eastAsia="pl-PL"/>
        </w:rPr>
        <w:t xml:space="preserve"> Badanie typu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Badanie typu powinno zawierać:</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 informacje ogólne:</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nazwę i adres producenta mieszanki mineralno-asfaltowej,</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datę wydania,</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nazwę wytwórni produkującej mieszankę mineralno –asfaltową,</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określenie typu mieszanki i kategorii, z którymi jest deklarowana zgodność,</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zestawienie metod przygotowania próbek oraz metod i warunków badania poszczególnych właściwości,</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 informacje o składnikach:</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każdy wymiar kruszywa: źródło i rodzaj</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lepiszcze: typ i rodzaj,</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wypełniacz: źródło i rodzaj,</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dodatki: źródło i rodzaj,</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lastRenderedPageBreak/>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wszystkie składniki: wyniki badań zgodnie z zestawieniem podanym w tablicy 27,</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27. Rodzaj i liczba badań składników mieszanki mineralno-asfaltowej</w:t>
      </w:r>
    </w:p>
    <w:tbl>
      <w:tblPr>
        <w:tblW w:w="0" w:type="auto"/>
        <w:tblCellMar>
          <w:left w:w="0" w:type="dxa"/>
          <w:right w:w="0" w:type="dxa"/>
        </w:tblCellMar>
        <w:tblLook w:val="04A0" w:firstRow="1" w:lastRow="0" w:firstColumn="1" w:lastColumn="0" w:noHBand="0" w:noVBand="1"/>
      </w:tblPr>
      <w:tblGrid>
        <w:gridCol w:w="2268"/>
        <w:gridCol w:w="1920"/>
        <w:gridCol w:w="2760"/>
        <w:gridCol w:w="1878"/>
      </w:tblGrid>
      <w:tr w:rsidR="005924B0" w:rsidRPr="005924B0" w:rsidTr="005924B0">
        <w:tc>
          <w:tcPr>
            <w:tcW w:w="226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Składnik</w:t>
            </w:r>
          </w:p>
        </w:tc>
        <w:tc>
          <w:tcPr>
            <w:tcW w:w="19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27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 badania</w:t>
            </w:r>
          </w:p>
        </w:tc>
        <w:tc>
          <w:tcPr>
            <w:tcW w:w="1878"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Liczba badań</w:t>
            </w:r>
          </w:p>
        </w:tc>
      </w:tr>
      <w:tr w:rsidR="005924B0" w:rsidRPr="005924B0" w:rsidTr="005924B0">
        <w:tc>
          <w:tcPr>
            <w:tcW w:w="2268"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Kruszywo</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13043 [50])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933-1 [6]</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 na frakcję</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1097-6 [17]</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 na frakcję</w:t>
            </w:r>
          </w:p>
        </w:tc>
      </w:tr>
      <w:tr w:rsidR="005924B0" w:rsidRPr="005924B0" w:rsidTr="005924B0">
        <w:tc>
          <w:tcPr>
            <w:tcW w:w="2268"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Lepiszcze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12591 [24], PN-EN 13924-2[65], PN-EN 14023 [66])</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Penetracja lub temperatura mięknienia</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 [21] lub</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 [22]</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Nawrót sprężysty</w:t>
            </w:r>
            <w:r w:rsidRPr="005924B0">
              <w:rPr>
                <w:rFonts w:ascii="Times New Roman" w:eastAsiaTheme="minorEastAsia" w:hAnsi="Times New Roman" w:cs="Times New Roman"/>
                <w:sz w:val="24"/>
                <w:szCs w:val="24"/>
                <w:vertAlign w:val="superscript"/>
                <w:lang w:eastAsia="pl-PL"/>
              </w:rPr>
              <w:t>*)</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13398 [58]</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2268"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Wypełniacz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13043 [50])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933-10 [12]</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1097-7 [18]</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22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Dodatki</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Typ</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tc>
      </w:tr>
      <w:tr w:rsidR="005924B0" w:rsidRPr="005924B0" w:rsidTr="005924B0">
        <w:tc>
          <w:tcPr>
            <w:tcW w:w="2268"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Granulat asfaltowy**)</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 [32]</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lepiszcza</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12697-1 [31]</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Penetracja odzyskanego lepiszcza</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12697-3 [33] lub PN-EN 12697-4 [34] oraz PN-EN 1426 [21]</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 lepiszcza</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12697-3 [33] lub PN-EN 12697-4 [34] oraz PN-EN 1427 [22]</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92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w:t>
            </w:r>
          </w:p>
        </w:tc>
        <w:tc>
          <w:tcPr>
            <w:tcW w:w="27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12697-5 [35]</w:t>
            </w:r>
          </w:p>
        </w:tc>
        <w:tc>
          <w:tcPr>
            <w:tcW w:w="187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w:t>
      </w:r>
      <w:r w:rsidRPr="005924B0">
        <w:rPr>
          <w:rFonts w:ascii="Times New Roman" w:eastAsiaTheme="minorEastAsia" w:hAnsi="Times New Roman" w:cs="Times New Roman"/>
          <w:sz w:val="20"/>
          <w:szCs w:val="20"/>
          <w:lang w:eastAsia="pl-PL"/>
        </w:rPr>
        <w:t xml:space="preserve">dotyczy jedynie lepiszczy wg PN-EN 14023 [66],                                 </w:t>
      </w:r>
    </w:p>
    <w:p w:rsidR="005924B0" w:rsidRPr="005924B0" w:rsidRDefault="005924B0" w:rsidP="005924B0">
      <w:pPr>
        <w:overflowPunct w:val="0"/>
        <w:autoSpaceDE w:val="0"/>
        <w:autoSpaceDN w:val="0"/>
        <w:spacing w:after="0" w:line="240" w:lineRule="auto"/>
        <w:ind w:left="480" w:hanging="48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w:t>
      </w:r>
      <w:r w:rsidRPr="005924B0">
        <w:rPr>
          <w:rFonts w:ascii="Times New Roman" w:eastAsiaTheme="minorEastAsia" w:hAnsi="Times New Roman" w:cs="Times New Roman"/>
          <w:sz w:val="20"/>
          <w:szCs w:val="20"/>
          <w:lang w:eastAsia="pl-PL"/>
        </w:rPr>
        <w:t>sprawdzane właściwości powinny być odpowiednie do procentowego dodatku; przy małym procentowym dodatku stosuje się minimum wymagań.</w:t>
      </w:r>
    </w:p>
    <w:p w:rsidR="005924B0" w:rsidRPr="005924B0" w:rsidRDefault="005924B0" w:rsidP="005924B0">
      <w:pPr>
        <w:overflowPunct w:val="0"/>
        <w:autoSpaceDE w:val="0"/>
        <w:autoSpaceDN w:val="0"/>
        <w:spacing w:before="120"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c) informacje o mieszance mineralno-asfaltowej:</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skład mieszaki podany jako wejściowy (w przypadku walidacji w laboratorium) lub wyjściowy skład (w wypadku walidacji produkcji),</w:t>
      </w:r>
    </w:p>
    <w:p w:rsidR="005924B0" w:rsidRPr="005924B0" w:rsidRDefault="005924B0" w:rsidP="005924B0">
      <w:pPr>
        <w:overflowPunct w:val="0"/>
        <w:autoSpaceDE w:val="0"/>
        <w:autoSpaceDN w:val="0"/>
        <w:spacing w:after="0" w:line="240" w:lineRule="auto"/>
        <w:ind w:left="720"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16"/>
          <w:szCs w:val="16"/>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wyniki badań zgodnie z zestawieniem podanym w tablicy 28.</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28. Rodzaj i liczba badań mieszanki mineralno-asfaltowej</w:t>
      </w:r>
    </w:p>
    <w:tbl>
      <w:tblPr>
        <w:tblW w:w="8868" w:type="dxa"/>
        <w:tblCellMar>
          <w:left w:w="0" w:type="dxa"/>
          <w:right w:w="0" w:type="dxa"/>
        </w:tblCellMar>
        <w:tblLook w:val="04A0" w:firstRow="1" w:lastRow="0" w:firstColumn="1" w:lastColumn="0" w:noHBand="0" w:noVBand="1"/>
      </w:tblPr>
      <w:tblGrid>
        <w:gridCol w:w="3936"/>
        <w:gridCol w:w="3260"/>
        <w:gridCol w:w="1672"/>
      </w:tblGrid>
      <w:tr w:rsidR="005924B0" w:rsidRPr="005924B0" w:rsidTr="005924B0">
        <w:tc>
          <w:tcPr>
            <w:tcW w:w="393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Właściwość</w:t>
            </w:r>
          </w:p>
        </w:tc>
        <w:tc>
          <w:tcPr>
            <w:tcW w:w="32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Metoda badania</w:t>
            </w:r>
          </w:p>
        </w:tc>
        <w:tc>
          <w:tcPr>
            <w:tcW w:w="167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Liczba badań</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lepiszcza (obowiązkowa)</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12697-1[31]</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12697-39 [46]</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Uziarnienie (obowiązkowa)</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 [32]</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wolnych przestrzeni łącznie z VFB i VMA przy wymaganej zawartości wolnych przestrzeni V</w:t>
            </w:r>
            <w:r w:rsidRPr="005924B0">
              <w:rPr>
                <w:rFonts w:ascii="Times New Roman" w:eastAsiaTheme="minorEastAsia" w:hAnsi="Times New Roman" w:cs="Times New Roman"/>
                <w:sz w:val="24"/>
                <w:szCs w:val="24"/>
                <w:vertAlign w:val="subscript"/>
                <w:lang w:eastAsia="pl-PL"/>
              </w:rPr>
              <w:t>max</w:t>
            </w:r>
            <w:r w:rsidRPr="005924B0">
              <w:rPr>
                <w:rFonts w:ascii="Times New Roman" w:eastAsiaTheme="minorEastAsia" w:hAnsi="Times New Roman" w:cs="Times New Roman"/>
                <w:sz w:val="24"/>
                <w:szCs w:val="24"/>
                <w:lang w:eastAsia="pl-PL"/>
              </w:rPr>
              <w:t>≤7% (obowiązkowa)</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12697-8[37]</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 objętościowa wg PN-EN 12697-6 [36], metoda B, w stanie nasyconym powierzch-niowo suchym.</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Gęstość wg PN-EN 12697-5 [35], metoda A w wodzie</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Wrażliwość na działanie wody (powiązana funkcjonalnie)</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12697-12 [39]</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Odporność na deformacje trwałe (powiązana funkcjonalnie), dotyczy betonu asfaltowego zaprojekto-wanego do maksymalnego obciążenia osi poniżej 130 kN</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12697-22 [41]</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mały aparat, metoda B w powietrzu, przy wymaganej temperaturze</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Sztywność (funkcjonalna)</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12697-26 [43]</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Zmęczenie (funkcjonalna) do nawierzchni zaprojektowanych wg kryterium opartym na </w:t>
            </w:r>
            <w:proofErr w:type="gramStart"/>
            <w:r w:rsidRPr="005924B0">
              <w:rPr>
                <w:rFonts w:ascii="Times New Roman" w:eastAsiaTheme="minorEastAsia" w:hAnsi="Times New Roman" w:cs="Times New Roman"/>
                <w:sz w:val="24"/>
                <w:szCs w:val="24"/>
                <w:lang w:eastAsia="pl-PL"/>
              </w:rPr>
              <w:t>cztero-punktowym</w:t>
            </w:r>
            <w:proofErr w:type="gramEnd"/>
            <w:r w:rsidRPr="005924B0">
              <w:rPr>
                <w:rFonts w:ascii="Times New Roman" w:eastAsiaTheme="minorEastAsia" w:hAnsi="Times New Roman" w:cs="Times New Roman"/>
                <w:sz w:val="24"/>
                <w:szCs w:val="24"/>
                <w:lang w:eastAsia="pl-PL"/>
              </w:rPr>
              <w:t xml:space="preserve"> zginaniu </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24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12697-24 [42] Załącznik D</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Odporność na paliwo (powiązana funkcjonalnie)</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12697-43 [49]</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r w:rsidR="005924B0" w:rsidRPr="005924B0" w:rsidTr="005924B0">
        <w:tc>
          <w:tcPr>
            <w:tcW w:w="393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Odporność na środki odladzające (powiązana funkcjonalnie)</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12697-41 [47]</w:t>
            </w:r>
          </w:p>
        </w:tc>
        <w:tc>
          <w:tcPr>
            <w:tcW w:w="167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r>
    </w:tbl>
    <w:p w:rsidR="005924B0" w:rsidRPr="005924B0" w:rsidRDefault="005924B0" w:rsidP="005924B0">
      <w:pPr>
        <w:overflowPunct w:val="0"/>
        <w:autoSpaceDE w:val="0"/>
        <w:autoSpaceDN w:val="0"/>
        <w:spacing w:before="120"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Badanie typu należy przeprowadzić zgodnie z PN-EN 13108-20 [54] przy pierwszym wprowadzeniu mieszanek mineralno-asfaltowych do obrotu i powinno być powtórzone w wypadku: </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upływu trzech lat,</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zmiany złoża kruszywa,</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zmiany rodzaju kruszywa (typu petrograficznego),</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zmiany kategorii kruszywa grubego, jak definiowano w PN-EN 13043 [50], jednej z następujących właściwości: kształtu, udziału ziaren częściowo przekruszonych, odporności na rozdrabnianie, odporności na ścieranie lub kanciastości kruszywa drobnego,</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zmiany gęstości ziaren (średnia ważona) o więcej niż 0,05 Mg/m</w:t>
      </w:r>
      <w:r w:rsidRPr="005924B0">
        <w:rPr>
          <w:rFonts w:ascii="Times New Roman" w:eastAsiaTheme="minorEastAsia" w:hAnsi="Times New Roman" w:cs="Times New Roman"/>
          <w:color w:val="000000"/>
          <w:sz w:val="24"/>
          <w:szCs w:val="24"/>
          <w:vertAlign w:val="superscript"/>
          <w:lang w:eastAsia="pl-PL"/>
        </w:rPr>
        <w:t>3</w:t>
      </w:r>
      <w:r w:rsidRPr="005924B0">
        <w:rPr>
          <w:rFonts w:ascii="Times New Roman" w:eastAsiaTheme="minorEastAsia" w:hAnsi="Times New Roman" w:cs="Times New Roman"/>
          <w:color w:val="000000"/>
          <w:sz w:val="24"/>
          <w:szCs w:val="24"/>
          <w:lang w:eastAsia="pl-PL"/>
        </w:rPr>
        <w:t>,</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zmiany rodzaju lepiszcza,</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zmiany typu mineralogicznego wypełniacza.</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6.3. Badania w czasie robót</w:t>
      </w:r>
    </w:p>
    <w:p w:rsidR="005924B0" w:rsidRPr="005924B0" w:rsidRDefault="005924B0" w:rsidP="005924B0">
      <w:pPr>
        <w:overflowPunct w:val="0"/>
        <w:autoSpaceDE w:val="0"/>
        <w:autoSpaceDN w:val="0"/>
        <w:spacing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xml:space="preserve">6.3.1. </w:t>
      </w:r>
      <w:r w:rsidRPr="005924B0">
        <w:rPr>
          <w:rFonts w:ascii="Times New Roman" w:eastAsiaTheme="minorEastAsia" w:hAnsi="Times New Roman" w:cs="Times New Roman"/>
          <w:sz w:val="24"/>
          <w:szCs w:val="24"/>
          <w:lang w:eastAsia="pl-PL"/>
        </w:rPr>
        <w:t>Uwagi ogólne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Badania dzielą się na:</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badania Wykonawcy (w ramach własnego nadzoru),</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badania kontrolne (w ramach nadzoru Zleceniodawcy – Inżyniera).</w:t>
      </w:r>
    </w:p>
    <w:p w:rsidR="005924B0" w:rsidRPr="005924B0" w:rsidRDefault="005924B0" w:rsidP="005924B0">
      <w:pPr>
        <w:overflowPunct w:val="0"/>
        <w:autoSpaceDE w:val="0"/>
        <w:autoSpaceDN w:val="0"/>
        <w:spacing w:after="0" w:line="240" w:lineRule="auto"/>
        <w:ind w:left="397" w:hanging="3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dodatkowe,</w:t>
      </w:r>
    </w:p>
    <w:p w:rsidR="005924B0" w:rsidRPr="005924B0" w:rsidRDefault="005924B0" w:rsidP="005924B0">
      <w:pPr>
        <w:overflowPunct w:val="0"/>
        <w:autoSpaceDE w:val="0"/>
        <w:autoSpaceDN w:val="0"/>
        <w:spacing w:after="0" w:line="240" w:lineRule="auto"/>
        <w:ind w:left="397" w:hanging="3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arbitrażowe.</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xml:space="preserve">6.3.2. </w:t>
      </w:r>
      <w:r w:rsidRPr="005924B0">
        <w:rPr>
          <w:rFonts w:ascii="Times New Roman" w:eastAsiaTheme="minorEastAsia" w:hAnsi="Times New Roman" w:cs="Times New Roman"/>
          <w:sz w:val="24"/>
          <w:szCs w:val="24"/>
          <w:lang w:eastAsia="pl-PL"/>
        </w:rPr>
        <w:t>Badania Wykonawcy</w:t>
      </w:r>
    </w:p>
    <w:p w:rsidR="005924B0" w:rsidRPr="005924B0" w:rsidRDefault="005924B0" w:rsidP="005924B0">
      <w:pPr>
        <w:overflowPunct w:val="0"/>
        <w:autoSpaceDE w:val="0"/>
        <w:autoSpaceDN w:val="0"/>
        <w:spacing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6.3.2.1. Badania w czasie wytwarzania mieszanki mineralno-asfaltowej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Wykonawcy w czasie wytwarzania mieszanki mineralno–asfaltowej powinny być wykonywane w ramach zakładowej kontroli produkcji, zgodnie z normą PN-EN 13108-21 [55].</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Zakres badań Wykonawcy w systemie zakładowej kontroli produkcji obejmuje:</w:t>
      </w:r>
    </w:p>
    <w:p w:rsidR="005924B0" w:rsidRPr="005924B0" w:rsidRDefault="005924B0" w:rsidP="005924B0">
      <w:pPr>
        <w:overflowPunct w:val="0"/>
        <w:autoSpaceDE w:val="0"/>
        <w:autoSpaceDN w:val="0"/>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 xml:space="preserve">badania materiałów wsadowych do mieszanki mineralno-asfaltowej (asfaltów, kruszyw </w:t>
      </w:r>
      <w:proofErr w:type="gramStart"/>
      <w:r w:rsidRPr="005924B0">
        <w:rPr>
          <w:rFonts w:ascii="Times New Roman" w:eastAsiaTheme="minorEastAsia" w:hAnsi="Times New Roman" w:cs="Times New Roman"/>
          <w:sz w:val="24"/>
          <w:szCs w:val="24"/>
          <w:lang w:eastAsia="pl-PL"/>
        </w:rPr>
        <w:t>wypełniacza  i</w:t>
      </w:r>
      <w:proofErr w:type="gramEnd"/>
      <w:r w:rsidRPr="005924B0">
        <w:rPr>
          <w:rFonts w:ascii="Times New Roman" w:eastAsiaTheme="minorEastAsia" w:hAnsi="Times New Roman" w:cs="Times New Roman"/>
          <w:sz w:val="24"/>
          <w:szCs w:val="24"/>
          <w:lang w:eastAsia="pl-PL"/>
        </w:rPr>
        <w:t xml:space="preserve"> dodatków), </w:t>
      </w:r>
    </w:p>
    <w:p w:rsidR="005924B0" w:rsidRPr="005924B0" w:rsidRDefault="005924B0" w:rsidP="005924B0">
      <w:pPr>
        <w:overflowPunct w:val="0"/>
        <w:autoSpaceDE w:val="0"/>
        <w:autoSpaceDN w:val="0"/>
        <w:spacing w:after="0" w:line="240" w:lineRule="auto"/>
        <w:ind w:left="454"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badanie składu i właściwości mieszanki mineralno-asfaltowej.</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Częstotliwość oraz zakres badań i pomiarów w czasie wytwarzania mieszanki mineralno-asfaltowej powinno być zgodne z certyfikowanym systemem ZKP. </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6.3.2.2.  Badania</w:t>
      </w:r>
      <w:proofErr w:type="gramEnd"/>
      <w:r w:rsidRPr="005924B0">
        <w:rPr>
          <w:rFonts w:ascii="Times New Roman" w:eastAsiaTheme="minorEastAsia" w:hAnsi="Times New Roman" w:cs="Times New Roman"/>
          <w:sz w:val="24"/>
          <w:szCs w:val="24"/>
          <w:lang w:eastAsia="pl-PL"/>
        </w:rPr>
        <w:t xml:space="preserve"> w czasie wykonywania warstwy asfaltowej i badania gotowej warstwy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Badania Wykonawcy są wykonywane przez Wykonawcę lub jego zleceniobiorców celem </w:t>
      </w:r>
      <w:proofErr w:type="gramStart"/>
      <w:r w:rsidRPr="005924B0">
        <w:rPr>
          <w:rFonts w:ascii="Times New Roman" w:eastAsiaTheme="minorEastAsia" w:hAnsi="Times New Roman" w:cs="Times New Roman"/>
          <w:sz w:val="24"/>
          <w:szCs w:val="24"/>
          <w:lang w:eastAsia="pl-PL"/>
        </w:rPr>
        <w:t>sprawdzenia,</w:t>
      </w:r>
      <w:proofErr w:type="gramEnd"/>
      <w:r w:rsidRPr="005924B0">
        <w:rPr>
          <w:rFonts w:ascii="Times New Roman" w:eastAsiaTheme="minorEastAsia" w:hAnsi="Times New Roman" w:cs="Times New Roman"/>
          <w:sz w:val="24"/>
          <w:szCs w:val="24"/>
          <w:lang w:eastAsia="pl-PL"/>
        </w:rPr>
        <w:t xml:space="preserve"> czy jakość materiałów budowlanych (mieszanek mineralno-asfaltowych i ich składników, lepiszczy i materiałów do uszczelnień itp.) oraz gotowej warstwy (wbudowane warstwy asfaltowe, połączenia itp.) spełniają wymagania określone w kontrakcie.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Wyniki badań Wykonawcy należy przekazywać Inżynierowi na jego żądanie. Inżynier może zdecydować o dokonaniu odbioru na podstawie badań Wykonawcy. W razie zastrzeżeń Inżynier może przeprowadzić badania kontrolne według pktu 6.5.</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Zakres badań Wykonawcy związany z wykonywaniem nawierzchni:</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pomiar temperatury powietrza,</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pomiar temperatury mieszanki mineralno-asfaltowej podczas wykonywania nawierzchni (wg PN-EN 12697-13 [40]),</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ocena wizualna mieszanki mineralno-asfaltowej,</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wykaz ilości materiałów lub grubości wykonanej warstwy,</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pomiar spadku poprzecznego warstwy asfaltowej,</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pomiar równości warstwy asfaltowej (wg pktu 6.5.4),</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pomiar parametrów geometrycznych poboczy,</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ocena wizualna jednorodności powierzchni warstwy,</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ocena wizualna jakości wykonania połączeń technologicznych.</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b/>
          <w:bCs/>
          <w:sz w:val="24"/>
          <w:szCs w:val="24"/>
          <w:lang w:eastAsia="pl-PL"/>
        </w:rPr>
        <w:t>6.3.3.  </w:t>
      </w:r>
      <w:r w:rsidRPr="005924B0">
        <w:rPr>
          <w:rFonts w:ascii="Times New Roman" w:eastAsiaTheme="minorEastAsia" w:hAnsi="Times New Roman" w:cs="Times New Roman"/>
          <w:sz w:val="24"/>
          <w:szCs w:val="24"/>
          <w:lang w:eastAsia="pl-PL"/>
        </w:rPr>
        <w:t>Badania</w:t>
      </w:r>
      <w:proofErr w:type="gramEnd"/>
      <w:r w:rsidRPr="005924B0">
        <w:rPr>
          <w:rFonts w:ascii="Times New Roman" w:eastAsiaTheme="minorEastAsia" w:hAnsi="Times New Roman" w:cs="Times New Roman"/>
          <w:sz w:val="24"/>
          <w:szCs w:val="24"/>
          <w:lang w:eastAsia="pl-PL"/>
        </w:rPr>
        <w:t xml:space="preserve"> kontrolne Zamawiającego</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Badania kontrolne są badaniami Inżyniera, których celem jest </w:t>
      </w:r>
      <w:proofErr w:type="gramStart"/>
      <w:r w:rsidRPr="005924B0">
        <w:rPr>
          <w:rFonts w:ascii="Times New Roman" w:eastAsiaTheme="minorEastAsia" w:hAnsi="Times New Roman" w:cs="Times New Roman"/>
          <w:sz w:val="24"/>
          <w:szCs w:val="24"/>
          <w:lang w:eastAsia="pl-PL"/>
        </w:rPr>
        <w:t>sprawdzenie,</w:t>
      </w:r>
      <w:proofErr w:type="gramEnd"/>
      <w:r w:rsidRPr="005924B0">
        <w:rPr>
          <w:rFonts w:ascii="Times New Roman" w:eastAsiaTheme="minorEastAsia" w:hAnsi="Times New Roman" w:cs="Times New Roman"/>
          <w:sz w:val="24"/>
          <w:szCs w:val="24"/>
          <w:lang w:eastAsia="pl-PL"/>
        </w:rPr>
        <w:t xml:space="preserv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rsidR="005924B0" w:rsidRPr="005924B0" w:rsidRDefault="005924B0" w:rsidP="005924B0">
      <w:pPr>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Rodzaj i zakres badań kontrolnych Zamawiającego mieszanki mineralno-asfaltowej i wykonanej warstwy jest następujący: </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 xml:space="preserve">badania materiałów wsadowych do mieszanki mineralno-asfaltowej (asfaltów, kruszyw, </w:t>
      </w:r>
      <w:proofErr w:type="gramStart"/>
      <w:r w:rsidRPr="005924B0">
        <w:rPr>
          <w:rFonts w:ascii="Times New Roman" w:eastAsiaTheme="minorEastAsia" w:hAnsi="Times New Roman" w:cs="Times New Roman"/>
          <w:sz w:val="24"/>
          <w:szCs w:val="24"/>
          <w:lang w:eastAsia="pl-PL"/>
        </w:rPr>
        <w:t>wypełniacza  i</w:t>
      </w:r>
      <w:proofErr w:type="gramEnd"/>
      <w:r w:rsidRPr="005924B0">
        <w:rPr>
          <w:rFonts w:ascii="Times New Roman" w:eastAsiaTheme="minorEastAsia" w:hAnsi="Times New Roman" w:cs="Times New Roman"/>
          <w:sz w:val="24"/>
          <w:szCs w:val="24"/>
          <w:lang w:eastAsia="pl-PL"/>
        </w:rPr>
        <w:t xml:space="preserve"> dodatków).</w:t>
      </w:r>
    </w:p>
    <w:p w:rsidR="005924B0" w:rsidRPr="005924B0" w:rsidRDefault="005924B0" w:rsidP="005924B0">
      <w:pPr>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Mieszanka mineralno-asfaltowa </w:t>
      </w:r>
      <w:r w:rsidRPr="005924B0">
        <w:rPr>
          <w:rFonts w:ascii="Times New Roman" w:eastAsiaTheme="minorEastAsia" w:hAnsi="Times New Roman" w:cs="Times New Roman"/>
          <w:sz w:val="24"/>
          <w:szCs w:val="24"/>
          <w:vertAlign w:val="superscript"/>
          <w:lang w:eastAsia="pl-PL"/>
        </w:rPr>
        <w:t>a)</w:t>
      </w:r>
      <w:r w:rsidRPr="005924B0">
        <w:rPr>
          <w:rFonts w:ascii="Times New Roman" w:eastAsiaTheme="minorEastAsia" w:hAnsi="Times New Roman" w:cs="Times New Roman"/>
          <w:sz w:val="24"/>
          <w:szCs w:val="24"/>
          <w:lang w:eastAsia="pl-PL"/>
        </w:rPr>
        <w:t>:</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uziarnienie,</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zawartość lepiszcza,</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temperatura mięknienia odzyskanego lepiszcza,</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gęstość i zawartość wolnych przestrzeni próbki.</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Warunki technologiczne wbudowywania mieszanki mineralno-asfaltowej:</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 xml:space="preserve">pomiar temperatury powietrza podczas </w:t>
      </w:r>
      <w:proofErr w:type="gramStart"/>
      <w:r w:rsidRPr="005924B0">
        <w:rPr>
          <w:rFonts w:ascii="Times New Roman" w:eastAsiaTheme="minorEastAsia" w:hAnsi="Times New Roman" w:cs="Times New Roman"/>
          <w:sz w:val="24"/>
          <w:szCs w:val="24"/>
          <w:lang w:eastAsia="pl-PL"/>
        </w:rPr>
        <w:t>pobrania  próby</w:t>
      </w:r>
      <w:proofErr w:type="gramEnd"/>
      <w:r w:rsidRPr="005924B0">
        <w:rPr>
          <w:rFonts w:ascii="Times New Roman" w:eastAsiaTheme="minorEastAsia" w:hAnsi="Times New Roman" w:cs="Times New Roman"/>
          <w:sz w:val="24"/>
          <w:szCs w:val="24"/>
          <w:lang w:eastAsia="pl-PL"/>
        </w:rPr>
        <w:t xml:space="preserve"> do badań,</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pomiar temperatury mieszanki mineralno-asfaltowej,</w:t>
      </w:r>
    </w:p>
    <w:p w:rsidR="005924B0" w:rsidRPr="005924B0" w:rsidRDefault="005924B0" w:rsidP="005924B0">
      <w:pPr>
        <w:overflowPunct w:val="0"/>
        <w:autoSpaceDE w:val="0"/>
        <w:autoSpaceDN w:val="0"/>
        <w:spacing w:after="0" w:line="240" w:lineRule="auto"/>
        <w:ind w:left="397" w:hanging="397"/>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lastRenderedPageBreak/>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ocena wizualna dostarczonej mieszanki mineralno-asfaltowej.</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Wykonana warstwa:</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wskaźnik zagęszczenia</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grubość warstwy lub ilość zużytego materiału,</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równość podłużna i poprzeczna,</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spadki poprzeczne,</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zawartość wolnych przestrzeni,</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złącza technologiczne,</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szerokość warstwy,</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rzędne wysokościowe,</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ukształtowanie osi w planie,</w:t>
      </w:r>
    </w:p>
    <w:p w:rsidR="005924B0" w:rsidRPr="005924B0" w:rsidRDefault="005924B0" w:rsidP="005924B0">
      <w:pPr>
        <w:spacing w:after="0" w:line="240" w:lineRule="auto"/>
        <w:ind w:left="360" w:hanging="360"/>
        <w:jc w:val="both"/>
        <w:rPr>
          <w:rFonts w:ascii="Times New Roman" w:eastAsiaTheme="minorEastAsia" w:hAnsi="Times New Roman" w:cs="Times New Roman"/>
          <w:sz w:val="24"/>
          <w:szCs w:val="24"/>
          <w:lang w:eastAsia="pl-PL"/>
        </w:rPr>
      </w:pPr>
      <w:r w:rsidRPr="005924B0">
        <w:rPr>
          <w:rFonts w:ascii="Times-Roman" w:eastAsiaTheme="minorEastAsia" w:hAnsi="Times-Roman" w:cs="Times New Roman"/>
          <w:sz w:val="24"/>
          <w:szCs w:val="24"/>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ocena wizualna warstwy.</w:t>
      </w:r>
    </w:p>
    <w:p w:rsidR="005924B0" w:rsidRPr="005924B0" w:rsidRDefault="005924B0" w:rsidP="005924B0">
      <w:pPr>
        <w:keepNext/>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vertAlign w:val="superscript"/>
          <w:lang w:eastAsia="pl-PL"/>
        </w:rPr>
        <w:t>a)</w:t>
      </w:r>
      <w:r w:rsidRPr="005924B0">
        <w:rPr>
          <w:rFonts w:ascii="Times New Roman" w:eastAsiaTheme="minorEastAsia" w:hAnsi="Times New Roman" w:cs="Times New Roman"/>
          <w:sz w:val="24"/>
          <w:szCs w:val="24"/>
          <w:lang w:eastAsia="pl-PL"/>
        </w:rPr>
        <w:t>   w razie potrzeby specjalne kruszywa i dodatki.</w:t>
      </w:r>
    </w:p>
    <w:p w:rsidR="005924B0" w:rsidRPr="005924B0" w:rsidRDefault="005924B0" w:rsidP="005924B0">
      <w:pPr>
        <w:keepNext/>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b/>
          <w:bCs/>
          <w:color w:val="000000"/>
          <w:sz w:val="24"/>
          <w:szCs w:val="24"/>
          <w:lang w:eastAsia="pl-PL"/>
        </w:rPr>
        <w:t>6.3.4.</w:t>
      </w:r>
      <w:r w:rsidRPr="005924B0">
        <w:rPr>
          <w:rFonts w:ascii="Times New Roman" w:eastAsiaTheme="minorEastAsia" w:hAnsi="Times New Roman" w:cs="Times New Roman"/>
          <w:color w:val="000000"/>
          <w:sz w:val="24"/>
          <w:szCs w:val="24"/>
          <w:lang w:eastAsia="pl-PL"/>
        </w:rPr>
        <w:t xml:space="preserve"> </w:t>
      </w:r>
      <w:r w:rsidRPr="005924B0">
        <w:rPr>
          <w:rFonts w:ascii="Times New Roman" w:eastAsiaTheme="minorEastAsia" w:hAnsi="Times New Roman" w:cs="Times New Roman"/>
          <w:b/>
          <w:bCs/>
          <w:color w:val="000000"/>
          <w:sz w:val="24"/>
          <w:szCs w:val="24"/>
          <w:lang w:eastAsia="pl-PL"/>
        </w:rPr>
        <w:t> </w:t>
      </w:r>
      <w:r w:rsidRPr="005924B0">
        <w:rPr>
          <w:rFonts w:ascii="Times New Roman" w:eastAsiaTheme="minorEastAsia" w:hAnsi="Times New Roman" w:cs="Times New Roman"/>
          <w:color w:val="000000"/>
          <w:sz w:val="24"/>
          <w:szCs w:val="24"/>
          <w:lang w:eastAsia="pl-PL"/>
        </w:rPr>
        <w:t>Badanie</w:t>
      </w:r>
      <w:proofErr w:type="gramEnd"/>
      <w:r w:rsidRPr="005924B0">
        <w:rPr>
          <w:rFonts w:ascii="Times New Roman" w:eastAsiaTheme="minorEastAsia" w:hAnsi="Times New Roman" w:cs="Times New Roman"/>
          <w:color w:val="000000"/>
          <w:sz w:val="24"/>
          <w:szCs w:val="24"/>
          <w:lang w:eastAsia="pl-PL"/>
        </w:rPr>
        <w:t xml:space="preserve"> materiałów wsadowych</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Właściwości materiałów wsadowych należy oceniać na podstawie badań pobranych próbek w miejscu </w:t>
      </w:r>
      <w:proofErr w:type="gramStart"/>
      <w:r w:rsidRPr="005924B0">
        <w:rPr>
          <w:rFonts w:ascii="Times New Roman" w:eastAsiaTheme="minorEastAsia" w:hAnsi="Times New Roman" w:cs="Times New Roman"/>
          <w:sz w:val="24"/>
          <w:szCs w:val="24"/>
          <w:lang w:eastAsia="pl-PL"/>
        </w:rPr>
        <w:t>produkcji  mieszanki</w:t>
      </w:r>
      <w:proofErr w:type="gramEnd"/>
      <w:r w:rsidRPr="005924B0">
        <w:rPr>
          <w:rFonts w:ascii="Times New Roman" w:eastAsiaTheme="minorEastAsia" w:hAnsi="Times New Roman" w:cs="Times New Roman"/>
          <w:sz w:val="24"/>
          <w:szCs w:val="24"/>
          <w:lang w:eastAsia="pl-PL"/>
        </w:rPr>
        <w:t xml:space="preserve"> mineralno-asfaltowej.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 oceny jakości materiałów wsadowych mieszanki mineralno-asfaltowej, za zgodą nadzoru i Zamawiającego mogą posłużyć wyniki badań wykonanych w ramach zakładowej kontroli produkcji. </w:t>
      </w:r>
    </w:p>
    <w:p w:rsidR="005924B0" w:rsidRPr="005924B0" w:rsidRDefault="005924B0" w:rsidP="005924B0">
      <w:pPr>
        <w:overflowPunct w:val="0"/>
        <w:autoSpaceDE w:val="0"/>
        <w:autoSpaceDN w:val="0"/>
        <w:spacing w:before="120" w:after="120" w:line="240" w:lineRule="auto"/>
        <w:ind w:right="-57"/>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b/>
          <w:bCs/>
          <w:color w:val="000000"/>
          <w:sz w:val="24"/>
          <w:szCs w:val="24"/>
          <w:lang w:eastAsia="pl-PL"/>
        </w:rPr>
        <w:t>6.3.5.</w:t>
      </w:r>
      <w:r w:rsidRPr="005924B0">
        <w:rPr>
          <w:rFonts w:ascii="Times New Roman" w:eastAsiaTheme="minorEastAsia" w:hAnsi="Times New Roman" w:cs="Times New Roman"/>
          <w:color w:val="000000"/>
          <w:sz w:val="24"/>
          <w:szCs w:val="24"/>
          <w:lang w:eastAsia="pl-PL"/>
        </w:rPr>
        <w:t xml:space="preserve"> </w:t>
      </w:r>
      <w:r w:rsidRPr="005924B0">
        <w:rPr>
          <w:rFonts w:ascii="Times New Roman" w:eastAsiaTheme="minorEastAsia" w:hAnsi="Times New Roman" w:cs="Times New Roman"/>
          <w:b/>
          <w:bCs/>
          <w:color w:val="000000"/>
          <w:sz w:val="24"/>
          <w:szCs w:val="24"/>
          <w:lang w:eastAsia="pl-PL"/>
        </w:rPr>
        <w:t> </w:t>
      </w:r>
      <w:r w:rsidRPr="005924B0">
        <w:rPr>
          <w:rFonts w:ascii="Times New Roman" w:eastAsiaTheme="minorEastAsia" w:hAnsi="Times New Roman" w:cs="Times New Roman"/>
          <w:color w:val="000000"/>
          <w:sz w:val="24"/>
          <w:szCs w:val="24"/>
          <w:lang w:eastAsia="pl-PL"/>
        </w:rPr>
        <w:t>Kruszywa</w:t>
      </w:r>
      <w:proofErr w:type="gramEnd"/>
      <w:r w:rsidRPr="005924B0">
        <w:rPr>
          <w:rFonts w:ascii="Times New Roman" w:eastAsiaTheme="minorEastAsia" w:hAnsi="Times New Roman" w:cs="Times New Roman"/>
          <w:color w:val="000000"/>
          <w:sz w:val="24"/>
          <w:szCs w:val="24"/>
          <w:lang w:eastAsia="pl-PL"/>
        </w:rPr>
        <w:t xml:space="preserve"> i wypełniacz</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Z kruszywa należy pobrać i zbadać średnie próbki. Wielkość pobranej średniej próbki nie może być mniejsza niż: </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wypełniacz                                                         2 kg,</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kruszywa o uziarnieniu do 8 mm                       5 kg,</w:t>
      </w:r>
    </w:p>
    <w:p w:rsidR="005924B0" w:rsidRPr="005924B0" w:rsidRDefault="005924B0" w:rsidP="005924B0">
      <w:pPr>
        <w:autoSpaceDE w:val="0"/>
        <w:autoSpaceDN w:val="0"/>
        <w:spacing w:after="0" w:line="240" w:lineRule="auto"/>
        <w:ind w:left="426" w:right="-57" w:hanging="426"/>
        <w:jc w:val="both"/>
        <w:rPr>
          <w:rFonts w:ascii="Times New Roman" w:eastAsiaTheme="minorEastAsia" w:hAnsi="Times New Roman" w:cs="Times New Roman"/>
          <w:sz w:val="24"/>
          <w:szCs w:val="24"/>
          <w:lang w:eastAsia="pl-PL"/>
        </w:rPr>
      </w:pP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14"/>
          <w:szCs w:val="14"/>
          <w:lang w:eastAsia="pl-PL"/>
        </w:rPr>
        <w:t xml:space="preserve">          </w:t>
      </w:r>
      <w:r w:rsidRPr="005924B0">
        <w:rPr>
          <w:rFonts w:ascii="Times New Roman" w:eastAsiaTheme="minorEastAsia" w:hAnsi="Times New Roman" w:cs="Times New Roman"/>
          <w:color w:val="000000"/>
          <w:sz w:val="24"/>
          <w:szCs w:val="24"/>
          <w:lang w:eastAsia="pl-PL"/>
        </w:rPr>
        <w:t>kruszywa o uziarnieniu powyżej 8 mm            15 kg.</w:t>
      </w:r>
    </w:p>
    <w:p w:rsidR="005924B0" w:rsidRPr="005924B0" w:rsidRDefault="005924B0" w:rsidP="005924B0">
      <w:pPr>
        <w:autoSpaceDE w:val="0"/>
        <w:autoSpaceDN w:val="0"/>
        <w:spacing w:after="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            Wypełniacz i kruszywa powinny spełniać wymagania podane w </w:t>
      </w:r>
      <w:proofErr w:type="gramStart"/>
      <w:r w:rsidRPr="005924B0">
        <w:rPr>
          <w:rFonts w:ascii="Times New Roman" w:eastAsiaTheme="minorEastAsia" w:hAnsi="Times New Roman" w:cs="Times New Roman"/>
          <w:color w:val="000000"/>
          <w:sz w:val="24"/>
          <w:szCs w:val="24"/>
          <w:lang w:eastAsia="pl-PL"/>
        </w:rPr>
        <w:t>pkcie  2.4.</w:t>
      </w:r>
      <w:proofErr w:type="gramEnd"/>
    </w:p>
    <w:p w:rsidR="005924B0" w:rsidRPr="005924B0" w:rsidRDefault="005924B0" w:rsidP="005924B0">
      <w:pPr>
        <w:overflowPunct w:val="0"/>
        <w:autoSpaceDE w:val="0"/>
        <w:autoSpaceDN w:val="0"/>
        <w:spacing w:before="120" w:after="120" w:line="240" w:lineRule="auto"/>
        <w:ind w:right="-57"/>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b/>
          <w:bCs/>
          <w:color w:val="000000"/>
          <w:sz w:val="24"/>
          <w:szCs w:val="24"/>
          <w:lang w:eastAsia="pl-PL"/>
        </w:rPr>
        <w:t>6.3.6.</w:t>
      </w:r>
      <w:r w:rsidRPr="005924B0">
        <w:rPr>
          <w:rFonts w:ascii="Times New Roman" w:eastAsiaTheme="minorEastAsia" w:hAnsi="Times New Roman" w:cs="Times New Roman"/>
          <w:color w:val="000000"/>
          <w:sz w:val="24"/>
          <w:szCs w:val="24"/>
          <w:lang w:eastAsia="pl-PL"/>
        </w:rPr>
        <w:t xml:space="preserve">  Lepiszcze</w:t>
      </w:r>
      <w:proofErr w:type="gramEnd"/>
      <w:r w:rsidRPr="005924B0">
        <w:rPr>
          <w:rFonts w:ascii="Times New Roman" w:eastAsiaTheme="minorEastAsia" w:hAnsi="Times New Roman" w:cs="Times New Roman"/>
          <w:color w:val="000000"/>
          <w:sz w:val="24"/>
          <w:szCs w:val="24"/>
          <w:lang w:eastAsia="pl-PL"/>
        </w:rPr>
        <w:t xml:space="preserve"> </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Z lepiszcza należy pobrać próbkę średnią składająca się z 3 próbek częściowych po 2 kg. Z tego jedną próbkę częściową należy poddać badaniom. Ponadto </w:t>
      </w:r>
      <w:proofErr w:type="gramStart"/>
      <w:r w:rsidRPr="005924B0">
        <w:rPr>
          <w:rFonts w:ascii="Times New Roman" w:eastAsiaTheme="minorEastAsia" w:hAnsi="Times New Roman" w:cs="Times New Roman"/>
          <w:color w:val="000000"/>
          <w:sz w:val="24"/>
          <w:szCs w:val="24"/>
          <w:lang w:eastAsia="pl-PL"/>
        </w:rPr>
        <w:t>należy  zbadać</w:t>
      </w:r>
      <w:proofErr w:type="gramEnd"/>
      <w:r w:rsidRPr="005924B0">
        <w:rPr>
          <w:rFonts w:ascii="Times New Roman" w:eastAsiaTheme="minorEastAsia" w:hAnsi="Times New Roman" w:cs="Times New Roman"/>
          <w:color w:val="000000"/>
          <w:sz w:val="24"/>
          <w:szCs w:val="24"/>
          <w:lang w:eastAsia="pl-PL"/>
        </w:rPr>
        <w:t xml:space="preserve"> kolejną próbkę, jeżeli wygląd zewnętrzny (jednolitość, kolor, zapach, zanieczyszczenia) może budzić obawy.</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Asfalty powinny spełniać wymagania podane w pkcie 2.3.</w:t>
      </w:r>
    </w:p>
    <w:p w:rsidR="005924B0" w:rsidRPr="005924B0" w:rsidRDefault="005924B0" w:rsidP="005924B0">
      <w:pPr>
        <w:overflowPunct w:val="0"/>
        <w:autoSpaceDE w:val="0"/>
        <w:autoSpaceDN w:val="0"/>
        <w:spacing w:before="120" w:after="120" w:line="240" w:lineRule="auto"/>
        <w:ind w:right="-57"/>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b/>
          <w:bCs/>
          <w:color w:val="000000"/>
          <w:sz w:val="24"/>
          <w:szCs w:val="24"/>
          <w:lang w:eastAsia="pl-PL"/>
        </w:rPr>
        <w:t>6.3.7.</w:t>
      </w:r>
      <w:r w:rsidRPr="005924B0">
        <w:rPr>
          <w:rFonts w:ascii="Times New Roman" w:eastAsiaTheme="minorEastAsia" w:hAnsi="Times New Roman" w:cs="Times New Roman"/>
          <w:color w:val="000000"/>
          <w:sz w:val="24"/>
          <w:szCs w:val="24"/>
          <w:lang w:eastAsia="pl-PL"/>
        </w:rPr>
        <w:t xml:space="preserve">  Materiały</w:t>
      </w:r>
      <w:proofErr w:type="gramEnd"/>
      <w:r w:rsidRPr="005924B0">
        <w:rPr>
          <w:rFonts w:ascii="Times New Roman" w:eastAsiaTheme="minorEastAsia" w:hAnsi="Times New Roman" w:cs="Times New Roman"/>
          <w:color w:val="000000"/>
          <w:sz w:val="24"/>
          <w:szCs w:val="24"/>
          <w:lang w:eastAsia="pl-PL"/>
        </w:rPr>
        <w:t xml:space="preserve"> do uszczelniania połączeń </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 lepiszcza lub materiałów termoplastycznych należy pobrać próbki średnie składające się z 3 próbek częściowych po 2 kg. Z tego jedną próbkę częściową należy</w:t>
      </w:r>
      <w:r w:rsidRPr="005924B0">
        <w:rPr>
          <w:rFonts w:ascii="Times New Roman" w:eastAsiaTheme="minorEastAsia" w:hAnsi="Times New Roman" w:cs="Times New Roman"/>
          <w:color w:val="000000"/>
          <w:sz w:val="24"/>
          <w:szCs w:val="24"/>
          <w:lang w:eastAsia="pl-PL"/>
        </w:rPr>
        <w:t xml:space="preserve"> poddać badaniom. Ponadto należy pobrać i zbadać kolejną próbkę, jeżeli zewnętrzny wygląd (jednolitość, kolor, połysk, zapach, zanieczyszczenia) może budzić obawy.</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Materiały do uszczelniania połączeń powinny spełniać wymagania podane w pkcie 2.7.</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proofErr w:type="gramStart"/>
      <w:r w:rsidRPr="005924B0">
        <w:rPr>
          <w:rFonts w:ascii="Times New Roman" w:eastAsia="Times New Roman" w:hAnsi="Times New Roman" w:cs="Times New Roman"/>
          <w:b/>
          <w:bCs/>
          <w:sz w:val="24"/>
          <w:szCs w:val="24"/>
          <w:lang w:eastAsia="pl-PL"/>
        </w:rPr>
        <w:t>6.4.  Badania</w:t>
      </w:r>
      <w:proofErr w:type="gramEnd"/>
      <w:r w:rsidRPr="005924B0">
        <w:rPr>
          <w:rFonts w:ascii="Times New Roman" w:eastAsia="Times New Roman" w:hAnsi="Times New Roman" w:cs="Times New Roman"/>
          <w:b/>
          <w:bCs/>
          <w:sz w:val="24"/>
          <w:szCs w:val="24"/>
          <w:lang w:eastAsia="pl-PL"/>
        </w:rPr>
        <w:t xml:space="preserve"> mieszanki mineralno-asfaltowej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Do oceny jakości mieszanki mineralno-asfaltowej za zgodą nadzoru i Zamawiającego mogą posłużyć wyniki badań wykonanych w ramach zakładowej kontroli produkcji.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Właściwości materiałów budowlanych należy określać dla każdej warstwy technologicznej, a metody badań powinny być zgodne z wymaganiami podanymi poniżej, chyba że ST lub dokumentacja projektowa podają inaczej. </w:t>
      </w:r>
    </w:p>
    <w:p w:rsidR="005924B0" w:rsidRPr="005924B0" w:rsidRDefault="005924B0" w:rsidP="005924B0">
      <w:pPr>
        <w:keepNext/>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6.4.1.</w:t>
      </w:r>
      <w:r w:rsidRPr="005924B0">
        <w:rPr>
          <w:rFonts w:ascii="Times New Roman" w:eastAsiaTheme="minorEastAsia" w:hAnsi="Times New Roman" w:cs="Times New Roman"/>
          <w:sz w:val="24"/>
          <w:szCs w:val="24"/>
          <w:lang w:eastAsia="pl-PL"/>
        </w:rPr>
        <w:t xml:space="preserve"> Uziarnienie </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rsidR="005924B0" w:rsidRPr="005924B0" w:rsidRDefault="005924B0" w:rsidP="005924B0">
      <w:pPr>
        <w:overflowPunct w:val="0"/>
        <w:autoSpaceDE w:val="0"/>
        <w:autoSpaceDN w:val="0"/>
        <w:spacing w:before="120" w:after="120" w:line="240" w:lineRule="auto"/>
        <w:ind w:left="1321" w:hanging="1321"/>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Tablica 29. Dopuszczalne odchyłki dotyczące pojedynczego wyniku badania i średniej arytmetycznej wyników badań zawartości kruszywa  </w:t>
      </w:r>
    </w:p>
    <w:tbl>
      <w:tblPr>
        <w:tblW w:w="0" w:type="auto"/>
        <w:tblCellMar>
          <w:left w:w="0" w:type="dxa"/>
          <w:right w:w="0" w:type="dxa"/>
        </w:tblCellMar>
        <w:tblLook w:val="04A0" w:firstRow="1" w:lastRow="0" w:firstColumn="1" w:lastColumn="0" w:noHBand="0" w:noVBand="1"/>
      </w:tblPr>
      <w:tblGrid>
        <w:gridCol w:w="3296"/>
        <w:gridCol w:w="799"/>
        <w:gridCol w:w="1083"/>
        <w:gridCol w:w="1083"/>
        <w:gridCol w:w="1083"/>
        <w:gridCol w:w="1083"/>
        <w:gridCol w:w="625"/>
      </w:tblGrid>
      <w:tr w:rsidR="005924B0" w:rsidRPr="005924B0" w:rsidTr="005924B0">
        <w:tc>
          <w:tcPr>
            <w:tcW w:w="3468"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w:t>
            </w:r>
          </w:p>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Kruszywo o wymiarze</w:t>
            </w:r>
          </w:p>
        </w:tc>
        <w:tc>
          <w:tcPr>
            <w:tcW w:w="4863" w:type="dxa"/>
            <w:gridSpan w:val="6"/>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Liczba wyników badań</w:t>
            </w:r>
          </w:p>
        </w:tc>
      </w:tr>
      <w:tr w:rsidR="005924B0" w:rsidRPr="005924B0" w:rsidTr="005924B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1</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od 3 </w:t>
            </w:r>
          </w:p>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do 4</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od 5 </w:t>
            </w:r>
          </w:p>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do 8</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od 9 </w:t>
            </w:r>
          </w:p>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do 19</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≥20</w:t>
            </w:r>
          </w:p>
        </w:tc>
      </w:tr>
      <w:tr w:rsidR="005924B0" w:rsidRPr="005924B0" w:rsidTr="005924B0">
        <w:tc>
          <w:tcPr>
            <w:tcW w:w="34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&lt;0,063 mm [%(m/m) –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mieszanki gruboziarniste</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±4,0</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±3,6</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±3,2</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±2,9</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±2,4</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±2,0</w:t>
            </w:r>
          </w:p>
        </w:tc>
      </w:tr>
      <w:tr w:rsidR="005924B0" w:rsidRPr="005924B0" w:rsidTr="005924B0">
        <w:tc>
          <w:tcPr>
            <w:tcW w:w="34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&lt;0,063 mm [%(m/m) –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mieszanki drobnoziarniste</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±3,0</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±2,7</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±2,4</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±2,1</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±1,8</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±1,5</w:t>
            </w:r>
          </w:p>
        </w:tc>
      </w:tr>
      <w:tr w:rsidR="005924B0" w:rsidRPr="005924B0" w:rsidTr="005924B0">
        <w:tc>
          <w:tcPr>
            <w:tcW w:w="34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&lt;0,125 mm, [%(m/m)] </w:t>
            </w:r>
            <w:proofErr w:type="gramStart"/>
            <w:r w:rsidRPr="005924B0">
              <w:rPr>
                <w:rFonts w:ascii="Times New Roman" w:eastAsiaTheme="minorEastAsia" w:hAnsi="Times New Roman" w:cs="Times New Roman"/>
                <w:color w:val="000000"/>
                <w:sz w:val="24"/>
                <w:szCs w:val="24"/>
                <w:lang w:eastAsia="pl-PL"/>
              </w:rPr>
              <w:t>-  mieszanki</w:t>
            </w:r>
            <w:proofErr w:type="gramEnd"/>
            <w:r w:rsidRPr="005924B0">
              <w:rPr>
                <w:rFonts w:ascii="Times New Roman" w:eastAsiaTheme="minorEastAsia" w:hAnsi="Times New Roman" w:cs="Times New Roman"/>
                <w:color w:val="000000"/>
                <w:sz w:val="24"/>
                <w:szCs w:val="24"/>
                <w:lang w:eastAsia="pl-PL"/>
              </w:rPr>
              <w:t xml:space="preserve"> gruboziarniste</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±5,0</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±4,4</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±3,9</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±3,4</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±2,7</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±2,0</w:t>
            </w:r>
          </w:p>
        </w:tc>
      </w:tr>
      <w:tr w:rsidR="005924B0" w:rsidRPr="005924B0" w:rsidTr="005924B0">
        <w:tc>
          <w:tcPr>
            <w:tcW w:w="34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&lt;0,125 mm, [%(m/m)] </w:t>
            </w:r>
            <w:proofErr w:type="gramStart"/>
            <w:r w:rsidRPr="005924B0">
              <w:rPr>
                <w:rFonts w:ascii="Times New Roman" w:eastAsiaTheme="minorEastAsia" w:hAnsi="Times New Roman" w:cs="Times New Roman"/>
                <w:color w:val="000000"/>
                <w:sz w:val="24"/>
                <w:szCs w:val="24"/>
                <w:lang w:eastAsia="pl-PL"/>
              </w:rPr>
              <w:t>-  mieszanki</w:t>
            </w:r>
            <w:proofErr w:type="gramEnd"/>
            <w:r w:rsidRPr="005924B0">
              <w:rPr>
                <w:rFonts w:ascii="Times New Roman" w:eastAsiaTheme="minorEastAsia" w:hAnsi="Times New Roman" w:cs="Times New Roman"/>
                <w:color w:val="000000"/>
                <w:sz w:val="24"/>
                <w:szCs w:val="24"/>
                <w:lang w:eastAsia="pl-PL"/>
              </w:rPr>
              <w:t xml:space="preserve"> drobnoziarniste</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±4,0</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±3,6</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±3,3</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±2,9</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±2,5</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±2,0</w:t>
            </w:r>
          </w:p>
        </w:tc>
      </w:tr>
      <w:tr w:rsidR="005924B0" w:rsidRPr="005924B0" w:rsidTr="005924B0">
        <w:tc>
          <w:tcPr>
            <w:tcW w:w="34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Od 0,063 mm do 2 mm</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±8</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±6,1</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±5,0</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±4,1</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±3,3</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±3,0</w:t>
            </w:r>
          </w:p>
        </w:tc>
      </w:tr>
      <w:tr w:rsidR="005924B0" w:rsidRPr="005924B0" w:rsidTr="005924B0">
        <w:tc>
          <w:tcPr>
            <w:tcW w:w="34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&gt;2 mm </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±8</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±6,1</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±5,0</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±4,1</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±3,3</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±3,0</w:t>
            </w:r>
          </w:p>
        </w:tc>
      </w:tr>
      <w:tr w:rsidR="005924B0" w:rsidRPr="005924B0" w:rsidTr="005924B0">
        <w:tc>
          <w:tcPr>
            <w:tcW w:w="34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Ziarna grube </w:t>
            </w:r>
          </w:p>
          <w:p w:rsidR="005924B0" w:rsidRPr="005924B0" w:rsidRDefault="005924B0" w:rsidP="005924B0">
            <w:pPr>
              <w:overflowPunct w:val="0"/>
              <w:autoSpaceDE w:val="0"/>
              <w:autoSpaceDN w:val="0"/>
              <w:spacing w:after="0" w:line="240" w:lineRule="auto"/>
              <w:ind w:right="-57"/>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(mieszanki drobnoziarniste)</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-8    +5</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-6,7   +4,7</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-5,8   +4,5</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-5,1   +4,3</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-4,4   +4,1</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±4,0</w:t>
            </w:r>
          </w:p>
        </w:tc>
      </w:tr>
      <w:tr w:rsidR="005924B0" w:rsidRPr="005924B0" w:rsidTr="005924B0">
        <w:tc>
          <w:tcPr>
            <w:tcW w:w="346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Ziarna grube </w:t>
            </w:r>
          </w:p>
          <w:p w:rsidR="005924B0" w:rsidRPr="005924B0" w:rsidRDefault="005924B0" w:rsidP="005924B0">
            <w:pPr>
              <w:overflowPunct w:val="0"/>
              <w:autoSpaceDE w:val="0"/>
              <w:autoSpaceDN w:val="0"/>
              <w:spacing w:after="0" w:line="240" w:lineRule="auto"/>
              <w:ind w:right="-57"/>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(mieszanki gruboziarniste)</w:t>
            </w:r>
          </w:p>
        </w:tc>
        <w:tc>
          <w:tcPr>
            <w:tcW w:w="730"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-9 +5,0</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-7,6 +5,0</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-6,8 +5,0</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-6,1 +5,0</w:t>
            </w:r>
          </w:p>
        </w:tc>
        <w:tc>
          <w:tcPr>
            <w:tcW w:w="89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-5,5 +5,0</w:t>
            </w:r>
          </w:p>
        </w:tc>
        <w:tc>
          <w:tcPr>
            <w:tcW w:w="648"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±5,0</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120" w:line="240" w:lineRule="auto"/>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b/>
          <w:bCs/>
          <w:color w:val="000000"/>
          <w:sz w:val="24"/>
          <w:szCs w:val="24"/>
          <w:lang w:eastAsia="pl-PL"/>
        </w:rPr>
        <w:t>6.4.2.</w:t>
      </w:r>
      <w:r w:rsidRPr="005924B0">
        <w:rPr>
          <w:rFonts w:ascii="Times New Roman" w:eastAsiaTheme="minorEastAsia" w:hAnsi="Times New Roman" w:cs="Times New Roman"/>
          <w:color w:val="000000"/>
          <w:sz w:val="24"/>
          <w:szCs w:val="24"/>
          <w:lang w:eastAsia="pl-PL"/>
        </w:rPr>
        <w:t xml:space="preserve">  Zawartość</w:t>
      </w:r>
      <w:proofErr w:type="gramEnd"/>
      <w:r w:rsidRPr="005924B0">
        <w:rPr>
          <w:rFonts w:ascii="Times New Roman" w:eastAsiaTheme="minorEastAsia" w:hAnsi="Times New Roman" w:cs="Times New Roman"/>
          <w:color w:val="000000"/>
          <w:sz w:val="24"/>
          <w:szCs w:val="24"/>
          <w:lang w:eastAsia="pl-PL"/>
        </w:rPr>
        <w:t xml:space="preserve"> lepiszcza </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rsidR="005924B0" w:rsidRPr="005924B0" w:rsidRDefault="005924B0" w:rsidP="005924B0">
      <w:pPr>
        <w:overflowPunct w:val="0"/>
        <w:autoSpaceDE w:val="0"/>
        <w:autoSpaceDN w:val="0"/>
        <w:spacing w:before="120" w:after="120" w:line="240" w:lineRule="auto"/>
        <w:ind w:left="1200" w:right="-57" w:hanging="120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Tablica 30. Dopuszczalne odchyłki pojedynczego wyniku badania i średniej arytmetycznej wyników badań zawartości lepiszcza rozpuszczalnego [%(m/m)]</w:t>
      </w:r>
    </w:p>
    <w:tbl>
      <w:tblPr>
        <w:tblW w:w="0" w:type="auto"/>
        <w:tblCellMar>
          <w:left w:w="0" w:type="dxa"/>
          <w:right w:w="0" w:type="dxa"/>
        </w:tblCellMar>
        <w:tblLook w:val="04A0" w:firstRow="1" w:lastRow="0" w:firstColumn="1" w:lastColumn="0" w:noHBand="0" w:noVBand="1"/>
      </w:tblPr>
      <w:tblGrid>
        <w:gridCol w:w="1709"/>
        <w:gridCol w:w="970"/>
        <w:gridCol w:w="1002"/>
        <w:gridCol w:w="1164"/>
        <w:gridCol w:w="1320"/>
        <w:gridCol w:w="1440"/>
        <w:gridCol w:w="1002"/>
      </w:tblGrid>
      <w:tr w:rsidR="005924B0" w:rsidRPr="005924B0" w:rsidTr="005924B0">
        <w:tc>
          <w:tcPr>
            <w:tcW w:w="16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Rodzaj mieszanki</w:t>
            </w:r>
          </w:p>
        </w:tc>
        <w:tc>
          <w:tcPr>
            <w:tcW w:w="689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Liczba wyników badań</w:t>
            </w:r>
          </w:p>
        </w:tc>
      </w:tr>
      <w:tr w:rsidR="005924B0" w:rsidRPr="005924B0" w:rsidTr="005924B0">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1</w:t>
            </w:r>
          </w:p>
        </w:tc>
        <w:tc>
          <w:tcPr>
            <w:tcW w:w="1002"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w:t>
            </w:r>
          </w:p>
        </w:tc>
        <w:tc>
          <w:tcPr>
            <w:tcW w:w="116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od 3 do 4</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od 5 do 8</w:t>
            </w:r>
            <w:r w:rsidRPr="005924B0">
              <w:rPr>
                <w:rFonts w:ascii="Times New Roman" w:eastAsiaTheme="minorEastAsia" w:hAnsi="Times New Roman" w:cs="Times New Roman"/>
                <w:color w:val="000000"/>
                <w:sz w:val="24"/>
                <w:szCs w:val="24"/>
                <w:vertAlign w:val="superscript"/>
                <w:lang w:eastAsia="pl-PL"/>
              </w:rPr>
              <w:t>a)</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od 9 do 19</w:t>
            </w:r>
            <w:r w:rsidRPr="005924B0">
              <w:rPr>
                <w:rFonts w:ascii="Times New Roman" w:eastAsiaTheme="minorEastAsia" w:hAnsi="Times New Roman" w:cs="Times New Roman"/>
                <w:color w:val="000000"/>
                <w:sz w:val="24"/>
                <w:szCs w:val="24"/>
                <w:vertAlign w:val="superscript"/>
                <w:lang w:eastAsia="pl-PL"/>
              </w:rPr>
              <w:t>a)</w:t>
            </w:r>
          </w:p>
        </w:tc>
        <w:tc>
          <w:tcPr>
            <w:tcW w:w="1002"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≥20</w:t>
            </w:r>
          </w:p>
        </w:tc>
      </w:tr>
      <w:tr w:rsidR="005924B0" w:rsidRPr="005924B0" w:rsidTr="005924B0">
        <w:tc>
          <w:tcPr>
            <w:tcW w:w="1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lastRenderedPageBreak/>
              <w:t>Mieszanki gruboziarniste</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±0,6</w:t>
            </w:r>
          </w:p>
        </w:tc>
        <w:tc>
          <w:tcPr>
            <w:tcW w:w="1002"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±0,55</w:t>
            </w:r>
          </w:p>
        </w:tc>
        <w:tc>
          <w:tcPr>
            <w:tcW w:w="116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±0,50</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±0,40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±0,35</w:t>
            </w:r>
          </w:p>
        </w:tc>
        <w:tc>
          <w:tcPr>
            <w:tcW w:w="1002"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±0,30</w:t>
            </w:r>
          </w:p>
        </w:tc>
      </w:tr>
      <w:tr w:rsidR="005924B0" w:rsidRPr="005924B0" w:rsidTr="005924B0">
        <w:tc>
          <w:tcPr>
            <w:tcW w:w="1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Mieszanki drobnoziarniste</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±0,5</w:t>
            </w:r>
          </w:p>
        </w:tc>
        <w:tc>
          <w:tcPr>
            <w:tcW w:w="1002"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±0,45</w:t>
            </w:r>
          </w:p>
        </w:tc>
        <w:tc>
          <w:tcPr>
            <w:tcW w:w="1164"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±0,40</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±0,40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±0,35</w:t>
            </w:r>
          </w:p>
        </w:tc>
        <w:tc>
          <w:tcPr>
            <w:tcW w:w="1002" w:type="dxa"/>
            <w:tcBorders>
              <w:top w:val="nil"/>
              <w:left w:val="nil"/>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±0,30</w:t>
            </w:r>
          </w:p>
        </w:tc>
      </w:tr>
      <w:tr w:rsidR="005924B0" w:rsidRPr="005924B0" w:rsidTr="005924B0">
        <w:tc>
          <w:tcPr>
            <w:tcW w:w="855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24B0" w:rsidRPr="005924B0" w:rsidRDefault="005924B0" w:rsidP="005924B0">
            <w:pPr>
              <w:autoSpaceDE w:val="0"/>
              <w:autoSpaceDN w:val="0"/>
              <w:spacing w:after="0" w:line="240" w:lineRule="auto"/>
              <w:ind w:left="310" w:right="-57" w:hanging="285"/>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a) 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120" w:line="240" w:lineRule="auto"/>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b/>
          <w:bCs/>
          <w:color w:val="000000"/>
          <w:sz w:val="24"/>
          <w:szCs w:val="24"/>
          <w:lang w:eastAsia="pl-PL"/>
        </w:rPr>
        <w:t>6.4.3.</w:t>
      </w:r>
      <w:r w:rsidRPr="005924B0">
        <w:rPr>
          <w:rFonts w:ascii="Times New Roman" w:eastAsiaTheme="minorEastAsia" w:hAnsi="Times New Roman" w:cs="Times New Roman"/>
          <w:color w:val="000000"/>
          <w:sz w:val="24"/>
          <w:szCs w:val="24"/>
          <w:lang w:eastAsia="pl-PL"/>
        </w:rPr>
        <w:t xml:space="preserve">  Temperatura</w:t>
      </w:r>
      <w:proofErr w:type="gramEnd"/>
      <w:r w:rsidRPr="005924B0">
        <w:rPr>
          <w:rFonts w:ascii="Times New Roman" w:eastAsiaTheme="minorEastAsia" w:hAnsi="Times New Roman" w:cs="Times New Roman"/>
          <w:color w:val="000000"/>
          <w:sz w:val="24"/>
          <w:szCs w:val="24"/>
          <w:lang w:eastAsia="pl-PL"/>
        </w:rPr>
        <w:t xml:space="preserve"> mięknienia lepiszcza </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Dla asfaltów drogowych zgodnych z PN-EN 12591[24] oraz wielorodzajowych zgodnych z PN-EN 13924-2 [65] [65a],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Jeżeli w składzie mieszanki mineralno-asfaltowej jest grantulat asfaltowy, to temperatura mięknienia wyekstrahowanego lepiszcza nie może przekroczyć temperatur mięknienia T</w:t>
      </w:r>
      <w:r w:rsidRPr="005924B0">
        <w:rPr>
          <w:rFonts w:ascii="Times New Roman" w:eastAsiaTheme="minorEastAsia" w:hAnsi="Times New Roman" w:cs="Times New Roman"/>
          <w:sz w:val="24"/>
          <w:szCs w:val="24"/>
          <w:vertAlign w:val="subscript"/>
          <w:lang w:eastAsia="pl-PL"/>
        </w:rPr>
        <w:t>R&amp;Bmix</w:t>
      </w:r>
      <w:r w:rsidRPr="005924B0">
        <w:rPr>
          <w:rFonts w:ascii="Times New Roman" w:eastAsiaTheme="minorEastAsia" w:hAnsi="Times New Roman" w:cs="Times New Roman"/>
          <w:sz w:val="24"/>
          <w:szCs w:val="24"/>
          <w:lang w:eastAsia="pl-PL"/>
        </w:rPr>
        <w:t>, podanej w badaniu typu o więcej niż 8°C.</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 polimeroasfaltu wyekstrahowanego z mieszanki mineralno asfaltowej nie powinna przekroczyć wartości dopuszczalnych podanych w tablicy 31</w:t>
      </w:r>
    </w:p>
    <w:p w:rsidR="005924B0" w:rsidRPr="005924B0" w:rsidRDefault="005924B0" w:rsidP="005924B0">
      <w:pPr>
        <w:overflowPunct w:val="0"/>
        <w:autoSpaceDE w:val="0"/>
        <w:autoSpaceDN w:val="0"/>
        <w:spacing w:before="120" w:after="120" w:line="240" w:lineRule="auto"/>
        <w:ind w:left="1276" w:hanging="1276"/>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Tablica 31.    Najwyższa temperatura mięknienia wyekstrahowanego polimeroasfaltu drogowego</w:t>
      </w:r>
    </w:p>
    <w:tbl>
      <w:tblPr>
        <w:tblW w:w="0" w:type="auto"/>
        <w:tblCellMar>
          <w:left w:w="0" w:type="dxa"/>
          <w:right w:w="0" w:type="dxa"/>
        </w:tblCellMar>
        <w:tblLook w:val="04A0" w:firstRow="1" w:lastRow="0" w:firstColumn="1" w:lastColumn="0" w:noHBand="0" w:noVBand="1"/>
      </w:tblPr>
      <w:tblGrid>
        <w:gridCol w:w="3755"/>
        <w:gridCol w:w="3756"/>
      </w:tblGrid>
      <w:tr w:rsidR="005924B0" w:rsidRPr="005924B0" w:rsidTr="005924B0">
        <w:tc>
          <w:tcPr>
            <w:tcW w:w="37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Rodzaj lepiszcza</w:t>
            </w:r>
          </w:p>
        </w:tc>
        <w:tc>
          <w:tcPr>
            <w:tcW w:w="37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Najwyższa temperatura mięknienia, °C</w:t>
            </w:r>
          </w:p>
        </w:tc>
      </w:tr>
      <w:tr w:rsidR="005924B0" w:rsidRPr="005924B0" w:rsidTr="005924B0">
        <w:tc>
          <w:tcPr>
            <w:tcW w:w="375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PMB-25/55-60</w:t>
            </w:r>
          </w:p>
        </w:tc>
        <w:tc>
          <w:tcPr>
            <w:tcW w:w="375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78</w:t>
            </w:r>
          </w:p>
        </w:tc>
      </w:tr>
      <w:tr w:rsidR="005924B0" w:rsidRPr="005924B0" w:rsidTr="005924B0">
        <w:tc>
          <w:tcPr>
            <w:tcW w:w="3755"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PMB 25/55-80</w:t>
            </w:r>
          </w:p>
        </w:tc>
        <w:tc>
          <w:tcPr>
            <w:tcW w:w="3756"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right="-57"/>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Nie dotyczy</w:t>
            </w:r>
          </w:p>
        </w:tc>
      </w:tr>
    </w:tbl>
    <w:p w:rsidR="005924B0" w:rsidRPr="005924B0" w:rsidRDefault="005924B0" w:rsidP="005924B0">
      <w:pPr>
        <w:autoSpaceDE w:val="0"/>
        <w:autoSpaceDN w:val="0"/>
        <w:spacing w:before="120"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przypadku, gdy dostarczony na wytwornię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rsidR="005924B0" w:rsidRPr="005924B0" w:rsidRDefault="005924B0" w:rsidP="005924B0">
      <w:pPr>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najwyższa dopuszczalna temperatura mięknienia wyekstrahowanego polimeroasfaltu =</w:t>
      </w:r>
    </w:p>
    <w:p w:rsidR="005924B0" w:rsidRPr="005924B0" w:rsidRDefault="005924B0" w:rsidP="005924B0">
      <w:pPr>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temperatura mięknienia zbadanej dostawy na wytwornię + dopuszczalny wg Załącznika</w:t>
      </w:r>
    </w:p>
    <w:p w:rsidR="005924B0" w:rsidRPr="005924B0" w:rsidRDefault="005924B0" w:rsidP="005924B0">
      <w:pPr>
        <w:overflowPunct w:val="0"/>
        <w:autoSpaceDE w:val="0"/>
        <w:autoSpaceDN w:val="0"/>
        <w:spacing w:after="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krajowego NA do PN-EN 14023 [66] [66a] wzrost temperatury mięknienia po starzeniu RTFOT.</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wypadku mieszanki mineralno-asfaltowej z polimeroasfaltem nawrot sprężysty lepiszcza wyekstrahowanego powinien wynieść co najmniej 40%. Dotyczy to również przedwczesnego zerwania tego lepiszcza w badaniu, przy czym należy wtedy podać wartość wydłużenia (zgodnie z zapisami normy PN-EN 13398 [58]).</w:t>
      </w:r>
    </w:p>
    <w:p w:rsidR="005924B0" w:rsidRPr="005924B0" w:rsidRDefault="005924B0" w:rsidP="005924B0">
      <w:pPr>
        <w:overflowPunct w:val="0"/>
        <w:autoSpaceDE w:val="0"/>
        <w:autoSpaceDN w:val="0"/>
        <w:spacing w:before="120" w:after="120" w:line="240" w:lineRule="auto"/>
        <w:ind w:right="-57"/>
        <w:jc w:val="both"/>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b/>
          <w:bCs/>
          <w:color w:val="000000"/>
          <w:sz w:val="24"/>
          <w:szCs w:val="24"/>
          <w:lang w:eastAsia="pl-PL"/>
        </w:rPr>
        <w:t>6.4.4.</w:t>
      </w:r>
      <w:r w:rsidRPr="005924B0">
        <w:rPr>
          <w:rFonts w:ascii="Times New Roman" w:eastAsiaTheme="minorEastAsia" w:hAnsi="Times New Roman" w:cs="Times New Roman"/>
          <w:color w:val="000000"/>
          <w:sz w:val="24"/>
          <w:szCs w:val="24"/>
          <w:lang w:eastAsia="pl-PL"/>
        </w:rPr>
        <w:t xml:space="preserve">  Gęstość</w:t>
      </w:r>
      <w:proofErr w:type="gramEnd"/>
      <w:r w:rsidRPr="005924B0">
        <w:rPr>
          <w:rFonts w:ascii="Times New Roman" w:eastAsiaTheme="minorEastAsia" w:hAnsi="Times New Roman" w:cs="Times New Roman"/>
          <w:color w:val="000000"/>
          <w:sz w:val="24"/>
          <w:szCs w:val="24"/>
          <w:lang w:eastAsia="pl-PL"/>
        </w:rPr>
        <w:t xml:space="preserve"> i zawartość wolnych przestrzeni</w:t>
      </w:r>
    </w:p>
    <w:p w:rsidR="005924B0" w:rsidRPr="005924B0" w:rsidRDefault="005924B0" w:rsidP="005924B0">
      <w:pPr>
        <w:overflowPunct w:val="0"/>
        <w:autoSpaceDE w:val="0"/>
        <w:autoSpaceDN w:val="0"/>
        <w:spacing w:after="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Zawartość wolnych przestrzeni w próbce Marshalla pobranej z mieszanki mineralno-asfaltowej lub wyjątkowo powtórnie rozgrzanej próbki pobranej z nawierzchni nie może wykroczyć poza wartości podane w pkcie 2.11 o więcej niż 2,0% (v/v).</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 xml:space="preserve">6.4.5. </w:t>
      </w:r>
      <w:r w:rsidRPr="005924B0">
        <w:rPr>
          <w:rFonts w:ascii="Times New Roman" w:eastAsiaTheme="minorEastAsia" w:hAnsi="Times New Roman" w:cs="Times New Roman"/>
          <w:sz w:val="24"/>
          <w:szCs w:val="24"/>
          <w:lang w:eastAsia="pl-PL"/>
        </w:rPr>
        <w:t xml:space="preserve">Warunki technologiczne wbudowywania mieszanki mineralno-asfaltowej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Temperatura powietrza powinna być mierzona przed i w czasie robót; nie powinna być mniejsza niż podano w tablicy 26.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 xml:space="preserve">Pomiar temperatury </w:t>
      </w:r>
      <w:proofErr w:type="gramStart"/>
      <w:r w:rsidRPr="005924B0">
        <w:rPr>
          <w:rFonts w:ascii="Times New Roman" w:eastAsiaTheme="minorEastAsia" w:hAnsi="Times New Roman" w:cs="Times New Roman"/>
          <w:sz w:val="24"/>
          <w:szCs w:val="24"/>
          <w:lang w:eastAsia="pl-PL"/>
        </w:rPr>
        <w:t>mieszanki  mineralno</w:t>
      </w:r>
      <w:proofErr w:type="gramEnd"/>
      <w:r w:rsidRPr="005924B0">
        <w:rPr>
          <w:rFonts w:ascii="Times New Roman" w:eastAsiaTheme="minorEastAsia" w:hAnsi="Times New Roman" w:cs="Times New Roman"/>
          <w:sz w:val="24"/>
          <w:szCs w:val="24"/>
          <w:lang w:eastAsia="pl-PL"/>
        </w:rPr>
        <w:t xml:space="preserve">-asfaltowej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Pomiar temperatury </w:t>
      </w:r>
      <w:proofErr w:type="gramStart"/>
      <w:r w:rsidRPr="005924B0">
        <w:rPr>
          <w:rFonts w:ascii="Times New Roman" w:eastAsiaTheme="minorEastAsia" w:hAnsi="Times New Roman" w:cs="Times New Roman"/>
          <w:sz w:val="24"/>
          <w:szCs w:val="24"/>
          <w:lang w:eastAsia="pl-PL"/>
        </w:rPr>
        <w:t>mieszanki  mineralno</w:t>
      </w:r>
      <w:proofErr w:type="gramEnd"/>
      <w:r w:rsidRPr="005924B0">
        <w:rPr>
          <w:rFonts w:ascii="Times New Roman" w:eastAsiaTheme="minorEastAsia" w:hAnsi="Times New Roman" w:cs="Times New Roman"/>
          <w:sz w:val="24"/>
          <w:szCs w:val="24"/>
          <w:lang w:eastAsia="pl-PL"/>
        </w:rPr>
        <w:t xml:space="preserve">-asfaltowej należy wykonać zgodnie z wymaganiami normy PN-EN 12697-13 [40].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6.5. Wykonana warstwa</w:t>
      </w:r>
    </w:p>
    <w:p w:rsidR="005924B0" w:rsidRPr="005924B0" w:rsidRDefault="005924B0" w:rsidP="005924B0">
      <w:pPr>
        <w:overflowPunct w:val="0"/>
        <w:autoSpaceDE w:val="0"/>
        <w:autoSpaceDN w:val="0"/>
        <w:spacing w:after="12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color w:val="000000"/>
          <w:sz w:val="24"/>
          <w:szCs w:val="24"/>
          <w:lang w:eastAsia="pl-PL"/>
        </w:rPr>
        <w:t>6.5.1.</w:t>
      </w:r>
      <w:r w:rsidRPr="005924B0">
        <w:rPr>
          <w:rFonts w:ascii="Times New Roman" w:eastAsiaTheme="minorEastAsia" w:hAnsi="Times New Roman" w:cs="Times New Roman"/>
          <w:color w:val="000000"/>
          <w:sz w:val="24"/>
          <w:szCs w:val="24"/>
          <w:lang w:eastAsia="pl-PL"/>
        </w:rPr>
        <w:t xml:space="preserve"> Wskaźnik zagęszczenia i zawartość wolnych przestrzeni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Zagęszczenie wykonanej warstwy wyrażone wskaźnikiem zagęszczenia oraz zawartością wolnych przestrzeni nie może przekroczyć wartości </w:t>
      </w:r>
      <w:proofErr w:type="gramStart"/>
      <w:r w:rsidRPr="005924B0">
        <w:rPr>
          <w:rFonts w:ascii="Times New Roman" w:eastAsiaTheme="minorEastAsia" w:hAnsi="Times New Roman" w:cs="Times New Roman"/>
          <w:color w:val="000000"/>
          <w:sz w:val="24"/>
          <w:szCs w:val="24"/>
          <w:lang w:eastAsia="pl-PL"/>
        </w:rPr>
        <w:t>dopuszczalnych  podanych</w:t>
      </w:r>
      <w:proofErr w:type="gramEnd"/>
      <w:r w:rsidRPr="005924B0">
        <w:rPr>
          <w:rFonts w:ascii="Times New Roman" w:eastAsiaTheme="minorEastAsia" w:hAnsi="Times New Roman" w:cs="Times New Roman"/>
          <w:color w:val="000000"/>
          <w:sz w:val="24"/>
          <w:szCs w:val="24"/>
          <w:lang w:eastAsia="pl-PL"/>
        </w:rPr>
        <w:t xml:space="preserve"> w tablicy 32. </w:t>
      </w:r>
      <w:r w:rsidRPr="005924B0">
        <w:rPr>
          <w:rFonts w:ascii="Times New Roman" w:eastAsiaTheme="minorEastAsia" w:hAnsi="Times New Roman" w:cs="Times New Roman"/>
          <w:sz w:val="24"/>
          <w:szCs w:val="24"/>
          <w:lang w:eastAsia="pl-PL"/>
        </w:rPr>
        <w:t>Dotyczy to każdego pojedynczego oznaczenia danej właściwości.</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Określenie gęstości objętościowej należy wykonywać według PN-EN 12697-6 [36].</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32. Właściwości warstwy AC </w:t>
      </w:r>
    </w:p>
    <w:tbl>
      <w:tblPr>
        <w:tblW w:w="0" w:type="auto"/>
        <w:tblCellMar>
          <w:left w:w="0" w:type="dxa"/>
          <w:right w:w="0" w:type="dxa"/>
        </w:tblCellMar>
        <w:tblLook w:val="04A0" w:firstRow="1" w:lastRow="0" w:firstColumn="1" w:lastColumn="0" w:noHBand="0" w:noVBand="1"/>
      </w:tblPr>
      <w:tblGrid>
        <w:gridCol w:w="1589"/>
        <w:gridCol w:w="1589"/>
        <w:gridCol w:w="1469"/>
        <w:gridCol w:w="2131"/>
      </w:tblGrid>
      <w:tr w:rsidR="005924B0" w:rsidRPr="005924B0" w:rsidTr="005924B0">
        <w:tc>
          <w:tcPr>
            <w:tcW w:w="158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Warstwa</w:t>
            </w:r>
          </w:p>
        </w:tc>
        <w:tc>
          <w:tcPr>
            <w:tcW w:w="15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Typ i wymiar mieszanki</w:t>
            </w:r>
          </w:p>
        </w:tc>
        <w:tc>
          <w:tcPr>
            <w:tcW w:w="146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Wskaźnik zagęszczenia</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t>
            </w:r>
          </w:p>
        </w:tc>
        <w:tc>
          <w:tcPr>
            <w:tcW w:w="213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Zawartość wolnych przestrzeni w warstwie</w:t>
            </w:r>
          </w:p>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[%(v/v)]</w:t>
            </w:r>
          </w:p>
        </w:tc>
      </w:tr>
      <w:tr w:rsidR="005924B0" w:rsidRPr="005924B0" w:rsidTr="005924B0">
        <w:tc>
          <w:tcPr>
            <w:tcW w:w="1589"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Podbudowa</w:t>
            </w:r>
          </w:p>
        </w:tc>
        <w:tc>
          <w:tcPr>
            <w:tcW w:w="158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 16 P, KR1-KR2</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98</w:t>
            </w:r>
          </w:p>
        </w:tc>
        <w:tc>
          <w:tcPr>
            <w:tcW w:w="213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3,0÷9,0</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58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 22 P, KR1-KR2</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98</w:t>
            </w:r>
          </w:p>
        </w:tc>
        <w:tc>
          <w:tcPr>
            <w:tcW w:w="213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3,0÷9,0</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58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 16 P, KR3-KR7</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98</w:t>
            </w:r>
          </w:p>
        </w:tc>
        <w:tc>
          <w:tcPr>
            <w:tcW w:w="213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3,0÷8,0</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58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 22 P, KR3-KR7</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98</w:t>
            </w:r>
          </w:p>
        </w:tc>
        <w:tc>
          <w:tcPr>
            <w:tcW w:w="213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3,0÷8,0</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158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AC 32 P, KR3-KR7</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98</w:t>
            </w:r>
          </w:p>
        </w:tc>
        <w:tc>
          <w:tcPr>
            <w:tcW w:w="213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120"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3,0÷8,0</w:t>
            </w:r>
          </w:p>
        </w:tc>
      </w:tr>
    </w:tbl>
    <w:p w:rsidR="005924B0" w:rsidRPr="005924B0" w:rsidRDefault="005924B0" w:rsidP="005924B0">
      <w:pPr>
        <w:overflowPunct w:val="0"/>
        <w:autoSpaceDE w:val="0"/>
        <w:autoSpaceDN w:val="0"/>
        <w:spacing w:after="12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w:t>
      </w:r>
    </w:p>
    <w:p w:rsidR="005924B0" w:rsidRPr="005924B0" w:rsidRDefault="005924B0" w:rsidP="005924B0">
      <w:pPr>
        <w:overflowPunct w:val="0"/>
        <w:autoSpaceDE w:val="0"/>
        <w:autoSpaceDN w:val="0"/>
        <w:spacing w:after="120" w:line="240" w:lineRule="auto"/>
        <w:ind w:right="-57"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color w:val="000000"/>
          <w:sz w:val="24"/>
          <w:szCs w:val="24"/>
          <w:lang w:eastAsia="pl-PL"/>
        </w:rPr>
        <w:t xml:space="preserve">Wskaźnik zagęszczenia i zawartość wolnych </w:t>
      </w:r>
      <w:proofErr w:type="gramStart"/>
      <w:r w:rsidRPr="005924B0">
        <w:rPr>
          <w:rFonts w:ascii="Times New Roman" w:eastAsiaTheme="minorEastAsia" w:hAnsi="Times New Roman" w:cs="Times New Roman"/>
          <w:color w:val="000000"/>
          <w:sz w:val="24"/>
          <w:szCs w:val="24"/>
          <w:lang w:eastAsia="pl-PL"/>
        </w:rPr>
        <w:t>przestrzeni  należy</w:t>
      </w:r>
      <w:proofErr w:type="gramEnd"/>
      <w:r w:rsidRPr="005924B0">
        <w:rPr>
          <w:rFonts w:ascii="Times New Roman" w:eastAsiaTheme="minorEastAsia" w:hAnsi="Times New Roman" w:cs="Times New Roman"/>
          <w:color w:val="000000"/>
          <w:sz w:val="24"/>
          <w:szCs w:val="24"/>
          <w:lang w:eastAsia="pl-PL"/>
        </w:rPr>
        <w:t xml:space="preserve"> badać dla każdej warstwy i na każde rozpoczęte 6000 m</w:t>
      </w:r>
      <w:r w:rsidRPr="005924B0">
        <w:rPr>
          <w:rFonts w:ascii="Times New Roman" w:eastAsiaTheme="minorEastAsia" w:hAnsi="Times New Roman" w:cs="Times New Roman"/>
          <w:color w:val="000000"/>
          <w:sz w:val="24"/>
          <w:szCs w:val="24"/>
          <w:vertAlign w:val="superscript"/>
          <w:lang w:eastAsia="pl-PL"/>
        </w:rPr>
        <w:t>2</w:t>
      </w:r>
      <w:r w:rsidRPr="005924B0">
        <w:rPr>
          <w:rFonts w:ascii="Times New Roman" w:eastAsiaTheme="minorEastAsia" w:hAnsi="Times New Roman" w:cs="Times New Roman"/>
          <w:color w:val="000000"/>
          <w:sz w:val="24"/>
          <w:szCs w:val="24"/>
          <w:lang w:eastAsia="pl-PL"/>
        </w:rPr>
        <w:t xml:space="preserve"> nawierzchni jedna próbka; w razie potrzeby liczba próbek może zostać zwiększona (np. nawierzchnie dróg w terenie zabudowy, nawierzchnie mostowe). </w:t>
      </w:r>
    </w:p>
    <w:p w:rsidR="005924B0" w:rsidRPr="005924B0" w:rsidRDefault="005924B0" w:rsidP="005924B0">
      <w:pPr>
        <w:overflowPunct w:val="0"/>
        <w:autoSpaceDE w:val="0"/>
        <w:autoSpaceDN w:val="0"/>
        <w:spacing w:after="120" w:line="240" w:lineRule="auto"/>
        <w:ind w:right="-57"/>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color w:val="000000"/>
          <w:sz w:val="24"/>
          <w:szCs w:val="24"/>
          <w:lang w:eastAsia="pl-PL"/>
        </w:rPr>
        <w:t> 6.5.2.</w:t>
      </w:r>
      <w:r w:rsidRPr="005924B0">
        <w:rPr>
          <w:rFonts w:ascii="Times New Roman" w:eastAsiaTheme="minorEastAsia" w:hAnsi="Times New Roman" w:cs="Times New Roman"/>
          <w:color w:val="000000"/>
          <w:sz w:val="24"/>
          <w:szCs w:val="24"/>
          <w:lang w:eastAsia="pl-PL"/>
        </w:rPr>
        <w:t xml:space="preserve"> Grubość warstwy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Średnia grubość dla poszczególnych warstw asfaltowych oraz średnia grubość dla całego pakietu tych warstw powinna być zgodna z grubością przyjętą w projekcie konstrukcji nawierzchni. Jedynie w przypadku pojedynczych wyników pomiarów, grubości wykonanej </w:t>
      </w:r>
      <w:r w:rsidRPr="005924B0">
        <w:rPr>
          <w:rFonts w:ascii="Times New Roman" w:eastAsiaTheme="minorEastAsia" w:hAnsi="Times New Roman" w:cs="Times New Roman"/>
          <w:sz w:val="24"/>
          <w:szCs w:val="24"/>
          <w:lang w:eastAsia="pl-PL"/>
        </w:rPr>
        <w:lastRenderedPageBreak/>
        <w:t>warstwy oznaczane według PN-EN 12697-36 [45] mogą odbiegać od projektu o wartości podane w tablicy 33.</w:t>
      </w:r>
    </w:p>
    <w:p w:rsidR="005924B0" w:rsidRPr="005924B0" w:rsidRDefault="005924B0" w:rsidP="005924B0">
      <w:pPr>
        <w:overflowPunct w:val="0"/>
        <w:autoSpaceDE w:val="0"/>
        <w:autoSpaceDN w:val="0"/>
        <w:spacing w:before="120" w:after="120" w:line="240" w:lineRule="auto"/>
        <w:ind w:left="992" w:hanging="992"/>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Tablica 33. Dopuszczalne odchyłki grubości warstwy [%] </w:t>
      </w:r>
    </w:p>
    <w:tbl>
      <w:tblPr>
        <w:tblW w:w="9239" w:type="dxa"/>
        <w:tblCellMar>
          <w:left w:w="0" w:type="dxa"/>
          <w:right w:w="0" w:type="dxa"/>
        </w:tblCellMar>
        <w:tblLook w:val="04A0" w:firstRow="1" w:lastRow="0" w:firstColumn="1" w:lastColumn="0" w:noHBand="0" w:noVBand="1"/>
      </w:tblPr>
      <w:tblGrid>
        <w:gridCol w:w="4644"/>
        <w:gridCol w:w="2264"/>
        <w:gridCol w:w="2331"/>
      </w:tblGrid>
      <w:tr w:rsidR="005924B0" w:rsidRPr="005924B0" w:rsidTr="005924B0">
        <w:tc>
          <w:tcPr>
            <w:tcW w:w="464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Warunki oceny</w:t>
            </w:r>
          </w:p>
        </w:tc>
        <w:tc>
          <w:tcPr>
            <w:tcW w:w="22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Pakiet: warstwa ścieralna+wiążąca +podbudowa asfaltowa razem</w:t>
            </w:r>
          </w:p>
        </w:tc>
        <w:tc>
          <w:tcPr>
            <w:tcW w:w="233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Warstwa podbudowy</w:t>
            </w:r>
          </w:p>
        </w:tc>
      </w:tr>
      <w:tr w:rsidR="005924B0" w:rsidRPr="005924B0" w:rsidTr="005924B0">
        <w:trPr>
          <w:trHeight w:val="608"/>
        </w:trPr>
        <w:tc>
          <w:tcPr>
            <w:tcW w:w="464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ind w:left="426" w:hanging="426"/>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Dla wartości średniej grubości wbudowanej warstwy z całego odcinka budowy</w:t>
            </w:r>
          </w:p>
        </w:tc>
        <w:tc>
          <w:tcPr>
            <w:tcW w:w="226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Nie dopuszcza się zaniżenia grubości</w:t>
            </w:r>
          </w:p>
        </w:tc>
        <w:tc>
          <w:tcPr>
            <w:tcW w:w="233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Nie dopuszcza się zaniżenia grubości</w:t>
            </w:r>
          </w:p>
        </w:tc>
      </w:tr>
      <w:tr w:rsidR="005924B0" w:rsidRPr="005924B0" w:rsidTr="005924B0">
        <w:tc>
          <w:tcPr>
            <w:tcW w:w="464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Dla wartości pojedynczych wyników pomiarów grubości wbudowanej warstwy</w:t>
            </w:r>
          </w:p>
        </w:tc>
        <w:tc>
          <w:tcPr>
            <w:tcW w:w="2264"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0÷10%, ale nie więcej niż 1,0 cm</w:t>
            </w:r>
          </w:p>
        </w:tc>
        <w:tc>
          <w:tcPr>
            <w:tcW w:w="2331"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before="60" w:after="6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0÷10%</w:t>
            </w:r>
          </w:p>
        </w:tc>
      </w:tr>
    </w:tbl>
    <w:p w:rsidR="005924B0" w:rsidRPr="005924B0" w:rsidRDefault="005924B0" w:rsidP="005924B0">
      <w:pPr>
        <w:autoSpaceDE w:val="0"/>
        <w:autoSpaceDN w:val="0"/>
        <w:spacing w:before="120"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Zwiększone grubości poszczególnych warstw będą zaliczane jako wyrównanie ewentualnych niedoborów niżej leżącej warstwy.</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Należy sprawdzić zachowanie zasady mówiącej, że grubość warstwy musi być co najmniej dwuipółkrotnie większa od wymiaru D kruszywa danej mieszanki (h ≥ 2,5×D).</w:t>
      </w:r>
    </w:p>
    <w:p w:rsidR="00071AF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W przypadku warstwy podbudowy wykonywanej z mieszanki mineralno-asfaltowej o projektowanej grubości powyżej 14 cm dopuszcza się wykonywanie warstwy w dwóch warstwach technologicznych. Warstwy technologiczne muszą być wykonywane z tej samej mieszanki mineralno-asfaltowej, a grubości tych warstw muszą być zbliżone. Pomiędzy warstwami technologicznymi musi być zachowana czepność międzywarstwowa zgodnie z </w:t>
      </w:r>
      <w:r w:rsidR="00071AF0">
        <w:rPr>
          <w:rFonts w:ascii="Times New Roman" w:eastAsiaTheme="minorEastAsia" w:hAnsi="Times New Roman" w:cs="Times New Roman"/>
          <w:sz w:val="24"/>
          <w:szCs w:val="24"/>
          <w:lang w:eastAsia="pl-PL"/>
        </w:rPr>
        <w:t>ST D-04.03.01</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[2]. Wszystkie wymagane wartości parametrów warstwy podbudowy wykonanej w jednym cyklu (warstwy technologicznej) muszą spełniać wymagania stawiane warstwie podbudowy.</w:t>
      </w:r>
    </w:p>
    <w:p w:rsidR="005924B0" w:rsidRPr="005924B0" w:rsidRDefault="005924B0" w:rsidP="005924B0">
      <w:pPr>
        <w:keepNext/>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6.5.3.</w:t>
      </w:r>
      <w:r w:rsidRPr="005924B0">
        <w:rPr>
          <w:rFonts w:ascii="Times New Roman" w:eastAsiaTheme="minorEastAsia" w:hAnsi="Times New Roman" w:cs="Times New Roman"/>
          <w:sz w:val="24"/>
          <w:szCs w:val="24"/>
          <w:lang w:eastAsia="pl-PL"/>
        </w:rPr>
        <w:t xml:space="preserve"> Spadki poprzeczne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Spadki poprzeczne nawierzchni należy badać nie rzadziej niż co 20 m oraz w punktach głównych łuków poziomych.</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Spadki poprzeczne powinny być zgodne z dokumentacją projektową, z tolerancją       </w:t>
      </w:r>
      <w:r w:rsidRPr="005924B0">
        <w:rPr>
          <w:rFonts w:ascii="Symbol" w:eastAsiaTheme="minorEastAsia" w:hAnsi="Symbol" w:cs="Times New Roman"/>
          <w:color w:val="000000"/>
          <w:sz w:val="24"/>
          <w:szCs w:val="24"/>
          <w:lang w:eastAsia="pl-PL"/>
        </w:rPr>
        <w:t></w:t>
      </w:r>
      <w:r w:rsidRPr="005924B0">
        <w:rPr>
          <w:rFonts w:ascii="Times New Roman" w:eastAsiaTheme="minorEastAsia" w:hAnsi="Times New Roman" w:cs="Times New Roman"/>
          <w:color w:val="000000"/>
          <w:sz w:val="24"/>
          <w:szCs w:val="24"/>
          <w:lang w:eastAsia="pl-PL"/>
        </w:rPr>
        <w:t xml:space="preserve"> 0,5%.  </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6.5.4.</w:t>
      </w:r>
      <w:r w:rsidRPr="005924B0">
        <w:rPr>
          <w:rFonts w:ascii="Times New Roman" w:eastAsiaTheme="minorEastAsia" w:hAnsi="Times New Roman" w:cs="Times New Roman"/>
          <w:sz w:val="24"/>
          <w:szCs w:val="24"/>
          <w:lang w:eastAsia="pl-PL"/>
        </w:rPr>
        <w:t xml:space="preserve"> Równość podłużna i poprzeczna</w:t>
      </w:r>
    </w:p>
    <w:p w:rsidR="005924B0" w:rsidRPr="005924B0" w:rsidRDefault="005924B0" w:rsidP="005924B0">
      <w:pPr>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a) Równość podłużna </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 oceny równości podłużnej podbudowy nawierzchni dróg wszystkich klas należy stosować metodę pomiaru ciągłego równoważną użyciu łaty i klina np. z wykorzystaniem planografu, umożliwiającego wyznaczanie odchyleń równości podłużnej jako największej odległości (prześwitu) pomiędzy teoretyczną linią łączącą spody kółek jezdnych urządzenia a mierzoną powierzchnią warstwy [mm].</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miejscach niedostępnych dla planografu pomiar równości podłużnej warstw nawierzchni należy wykonać w sposób ciągły z użyciem łaty i klina. Długość łaty w pomiarze równości podłużnej powinna wynosić 4 m.</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Maksymalne wartości odchyleń równości podłużnej dla warstwy oznaczone pomiarem ciągłym równoważnym użyciu łaty i klina np. z wykorzystaniem planografu, łaty i klina określa tablica 34.</w:t>
      </w:r>
    </w:p>
    <w:p w:rsidR="005924B0" w:rsidRPr="005924B0" w:rsidRDefault="005924B0" w:rsidP="005924B0">
      <w:pPr>
        <w:autoSpaceDE w:val="0"/>
        <w:autoSpaceDN w:val="0"/>
        <w:spacing w:before="120" w:after="120" w:line="240" w:lineRule="auto"/>
        <w:ind w:left="1276" w:hanging="1276"/>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34.    Maksymalne wartości odchyleń równości podłużnej dla podbudowy określone za pomocą pomiaru ciągłego, łaty i klina</w:t>
      </w:r>
    </w:p>
    <w:tbl>
      <w:tblPr>
        <w:tblW w:w="0" w:type="auto"/>
        <w:tblCellMar>
          <w:left w:w="0" w:type="dxa"/>
          <w:right w:w="0" w:type="dxa"/>
        </w:tblCellMar>
        <w:tblLook w:val="04A0" w:firstRow="1" w:lastRow="0" w:firstColumn="1" w:lastColumn="0" w:noHBand="0" w:noVBand="1"/>
      </w:tblPr>
      <w:tblGrid>
        <w:gridCol w:w="1809"/>
        <w:gridCol w:w="4395"/>
        <w:gridCol w:w="2693"/>
      </w:tblGrid>
      <w:tr w:rsidR="005924B0" w:rsidRPr="005924B0" w:rsidTr="005924B0">
        <w:tc>
          <w:tcPr>
            <w:tcW w:w="180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Klasa drogi</w:t>
            </w:r>
          </w:p>
        </w:tc>
        <w:tc>
          <w:tcPr>
            <w:tcW w:w="439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Element nawierzchni</w:t>
            </w:r>
          </w:p>
        </w:tc>
        <w:tc>
          <w:tcPr>
            <w:tcW w:w="26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Maksymalne wartości odchyleń równości podłużnej warstwy [mm] dla podbudowy</w:t>
            </w:r>
          </w:p>
        </w:tc>
      </w:tr>
      <w:tr w:rsidR="005924B0" w:rsidRPr="005924B0" w:rsidTr="005924B0">
        <w:tc>
          <w:tcPr>
            <w:tcW w:w="1809"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A,S</w:t>
            </w:r>
            <w:proofErr w:type="gramEnd"/>
            <w:r w:rsidRPr="005924B0">
              <w:rPr>
                <w:rFonts w:ascii="Times New Roman" w:eastAsiaTheme="minorEastAsia" w:hAnsi="Times New Roman" w:cs="Times New Roman"/>
                <w:sz w:val="24"/>
                <w:szCs w:val="24"/>
                <w:lang w:eastAsia="pl-PL"/>
              </w:rPr>
              <w:t>,GP</w:t>
            </w:r>
          </w:p>
        </w:tc>
        <w:tc>
          <w:tcPr>
            <w:tcW w:w="439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Pasy ruchu zasadnicze, awaryjne,</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dodatkowe, włączenia i wyłączenia,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jezdnie łącznic, utwardzone pobocza</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439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Jezdnie MOP</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r>
      <w:tr w:rsidR="005924B0" w:rsidRPr="005924B0" w:rsidTr="005924B0">
        <w:tc>
          <w:tcPr>
            <w:tcW w:w="18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G,Z</w:t>
            </w:r>
            <w:proofErr w:type="gramEnd"/>
          </w:p>
        </w:tc>
        <w:tc>
          <w:tcPr>
            <w:tcW w:w="439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Pasy ruchu zasadnicze, dodatkowe,</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włączenia i wyłączenia, postojowe,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jezdnie łącznic, utwardzone pobocza</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r>
      <w:tr w:rsidR="005924B0" w:rsidRPr="005924B0" w:rsidTr="005924B0">
        <w:tc>
          <w:tcPr>
            <w:tcW w:w="18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L,D</w:t>
            </w:r>
            <w:proofErr w:type="gramEnd"/>
            <w:r w:rsidRPr="005924B0">
              <w:rPr>
                <w:rFonts w:ascii="Times New Roman" w:eastAsiaTheme="minorEastAsia" w:hAnsi="Times New Roman" w:cs="Times New Roman"/>
                <w:sz w:val="24"/>
                <w:szCs w:val="24"/>
                <w:lang w:eastAsia="pl-PL"/>
              </w:rPr>
              <w:t xml:space="preserve">, place parkingi, </w:t>
            </w:r>
          </w:p>
        </w:tc>
        <w:tc>
          <w:tcPr>
            <w:tcW w:w="439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Wszystkie pasy ruchu i powierzchnie przeznaczone do ruchu i postoju pojazdów</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r>
    </w:tbl>
    <w:p w:rsidR="005924B0" w:rsidRPr="005924B0" w:rsidRDefault="005924B0" w:rsidP="005924B0">
      <w:pPr>
        <w:overflowPunct w:val="0"/>
        <w:autoSpaceDE w:val="0"/>
        <w:autoSpaceDN w:val="0"/>
        <w:spacing w:before="120" w:after="0" w:line="240" w:lineRule="auto"/>
        <w:ind w:left="66"/>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 Równość poprzeczna</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rsidR="005924B0" w:rsidRPr="005924B0" w:rsidRDefault="005924B0" w:rsidP="005924B0">
      <w:pPr>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Maksymalne wartości odchyleń równości poprzecznej określa tablica 35.</w:t>
      </w:r>
    </w:p>
    <w:p w:rsidR="005924B0" w:rsidRPr="005924B0" w:rsidRDefault="005924B0" w:rsidP="005924B0">
      <w:pPr>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Tablica 35. Maksymalne wartości odchyleń równości poprzecznej dla podbudowy</w:t>
      </w:r>
    </w:p>
    <w:tbl>
      <w:tblPr>
        <w:tblW w:w="0" w:type="auto"/>
        <w:tblCellMar>
          <w:left w:w="0" w:type="dxa"/>
          <w:right w:w="0" w:type="dxa"/>
        </w:tblCellMar>
        <w:tblLook w:val="04A0" w:firstRow="1" w:lastRow="0" w:firstColumn="1" w:lastColumn="0" w:noHBand="0" w:noVBand="1"/>
      </w:tblPr>
      <w:tblGrid>
        <w:gridCol w:w="1809"/>
        <w:gridCol w:w="4395"/>
        <w:gridCol w:w="2693"/>
      </w:tblGrid>
      <w:tr w:rsidR="005924B0" w:rsidRPr="005924B0" w:rsidTr="005924B0">
        <w:tc>
          <w:tcPr>
            <w:tcW w:w="180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Klasa drogi</w:t>
            </w:r>
          </w:p>
        </w:tc>
        <w:tc>
          <w:tcPr>
            <w:tcW w:w="439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Element nawierzchni</w:t>
            </w:r>
          </w:p>
        </w:tc>
        <w:tc>
          <w:tcPr>
            <w:tcW w:w="26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Maksymalne wartości odchyleń równości poprzecznej warstwy [mm] dla podbudowy</w:t>
            </w:r>
          </w:p>
        </w:tc>
      </w:tr>
      <w:tr w:rsidR="005924B0" w:rsidRPr="005924B0" w:rsidTr="005924B0">
        <w:tc>
          <w:tcPr>
            <w:tcW w:w="1809"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A,S</w:t>
            </w:r>
            <w:proofErr w:type="gramEnd"/>
            <w:r w:rsidRPr="005924B0">
              <w:rPr>
                <w:rFonts w:ascii="Times New Roman" w:eastAsiaTheme="minorEastAsia" w:hAnsi="Times New Roman" w:cs="Times New Roman"/>
                <w:sz w:val="24"/>
                <w:szCs w:val="24"/>
                <w:lang w:eastAsia="pl-PL"/>
              </w:rPr>
              <w:t>,GP</w:t>
            </w:r>
          </w:p>
        </w:tc>
        <w:tc>
          <w:tcPr>
            <w:tcW w:w="439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Pasy ruchu zasadnicze, awaryjne,</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dodatkowe, włączenia i wyłączenia,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jezdnie łącznic, utwardzone pobocza</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w:t>
            </w:r>
          </w:p>
        </w:tc>
      </w:tr>
      <w:tr w:rsidR="005924B0" w:rsidRPr="005924B0" w:rsidTr="005924B0">
        <w:tc>
          <w:tcPr>
            <w:tcW w:w="0" w:type="auto"/>
            <w:vMerge/>
            <w:tcBorders>
              <w:top w:val="nil"/>
              <w:left w:val="single" w:sz="8" w:space="0" w:color="auto"/>
              <w:bottom w:val="single" w:sz="8" w:space="0" w:color="auto"/>
              <w:right w:val="single" w:sz="8" w:space="0" w:color="auto"/>
            </w:tcBorders>
            <w:vAlign w:val="center"/>
            <w:hideMark/>
          </w:tcPr>
          <w:p w:rsidR="005924B0" w:rsidRPr="005924B0" w:rsidRDefault="005924B0" w:rsidP="005924B0">
            <w:pPr>
              <w:spacing w:after="0" w:line="240" w:lineRule="auto"/>
              <w:rPr>
                <w:rFonts w:ascii="Times New Roman" w:eastAsiaTheme="minorEastAsia" w:hAnsi="Times New Roman" w:cs="Times New Roman"/>
                <w:sz w:val="24"/>
                <w:szCs w:val="24"/>
                <w:lang w:eastAsia="pl-PL"/>
              </w:rPr>
            </w:pPr>
          </w:p>
        </w:tc>
        <w:tc>
          <w:tcPr>
            <w:tcW w:w="439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Jezdnie MOP</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r>
      <w:tr w:rsidR="005924B0" w:rsidRPr="005924B0" w:rsidTr="005924B0">
        <w:tc>
          <w:tcPr>
            <w:tcW w:w="18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G,Z</w:t>
            </w:r>
            <w:proofErr w:type="gramEnd"/>
          </w:p>
        </w:tc>
        <w:tc>
          <w:tcPr>
            <w:tcW w:w="439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Pasy ruchu zasadnicze, dodatkowe,</w:t>
            </w:r>
          </w:p>
          <w:p w:rsidR="005924B0" w:rsidRPr="005924B0" w:rsidRDefault="005924B0" w:rsidP="005924B0">
            <w:pPr>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włączenia i wyłączenia, postojowe,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jezdnie łącznic, utwardzone pobocza</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r>
      <w:tr w:rsidR="005924B0" w:rsidRPr="005924B0" w:rsidTr="005924B0">
        <w:tc>
          <w:tcPr>
            <w:tcW w:w="18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proofErr w:type="gramStart"/>
            <w:r w:rsidRPr="005924B0">
              <w:rPr>
                <w:rFonts w:ascii="Times New Roman" w:eastAsiaTheme="minorEastAsia" w:hAnsi="Times New Roman" w:cs="Times New Roman"/>
                <w:sz w:val="24"/>
                <w:szCs w:val="24"/>
                <w:lang w:eastAsia="pl-PL"/>
              </w:rPr>
              <w:t>L,D</w:t>
            </w:r>
            <w:proofErr w:type="gramEnd"/>
            <w:r w:rsidRPr="005924B0">
              <w:rPr>
                <w:rFonts w:ascii="Times New Roman" w:eastAsiaTheme="minorEastAsia" w:hAnsi="Times New Roman" w:cs="Times New Roman"/>
                <w:sz w:val="24"/>
                <w:szCs w:val="24"/>
                <w:lang w:eastAsia="pl-PL"/>
              </w:rPr>
              <w:t xml:space="preserve">, place parkingi, </w:t>
            </w:r>
          </w:p>
        </w:tc>
        <w:tc>
          <w:tcPr>
            <w:tcW w:w="4395"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Wszystkie pasy ruchu i powierzchnie przeznaczone do ruchu i postoju pojazdów</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r>
    </w:tbl>
    <w:p w:rsidR="005924B0" w:rsidRPr="005924B0" w:rsidRDefault="005924B0" w:rsidP="005924B0">
      <w:pPr>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6.5.5.</w:t>
      </w:r>
      <w:r w:rsidRPr="005924B0">
        <w:rPr>
          <w:rFonts w:ascii="Times New Roman" w:eastAsiaTheme="minorEastAsia" w:hAnsi="Times New Roman" w:cs="Times New Roman"/>
          <w:sz w:val="24"/>
          <w:szCs w:val="24"/>
          <w:lang w:eastAsia="pl-PL"/>
        </w:rPr>
        <w:t xml:space="preserve"> Złącza technologiczne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Złącza podłużne i poprzeczne, sprawdzone wizualnie, powinny być równe i związane, wykonane w linii prostej, równolegle lub prostopadle do osi drogi. Przylegające warstwy powinny być w jednym poziomie.</w:t>
      </w:r>
    </w:p>
    <w:p w:rsidR="005924B0" w:rsidRPr="005924B0" w:rsidRDefault="005924B0" w:rsidP="005924B0">
      <w:pPr>
        <w:keepNext/>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lastRenderedPageBreak/>
        <w:t>6.5.6.</w:t>
      </w:r>
      <w:r w:rsidRPr="005924B0">
        <w:rPr>
          <w:rFonts w:ascii="Times New Roman" w:eastAsiaTheme="minorEastAsia" w:hAnsi="Times New Roman" w:cs="Times New Roman"/>
          <w:sz w:val="24"/>
          <w:szCs w:val="24"/>
          <w:lang w:eastAsia="pl-PL"/>
        </w:rPr>
        <w:t xml:space="preserve"> Szerokość warstwy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Szerokość warstwy, mierzona 10 razy na 1 km każdej jezdni powinna być zgodna z dokumentacją projektową, z </w:t>
      </w:r>
      <w:proofErr w:type="gramStart"/>
      <w:r w:rsidRPr="005924B0">
        <w:rPr>
          <w:rFonts w:ascii="Times New Roman" w:eastAsiaTheme="minorEastAsia" w:hAnsi="Times New Roman" w:cs="Times New Roman"/>
          <w:sz w:val="24"/>
          <w:szCs w:val="24"/>
          <w:lang w:eastAsia="pl-PL"/>
        </w:rPr>
        <w:t>tolerancją  w</w:t>
      </w:r>
      <w:proofErr w:type="gramEnd"/>
      <w:r w:rsidRPr="005924B0">
        <w:rPr>
          <w:rFonts w:ascii="Times New Roman" w:eastAsiaTheme="minorEastAsia" w:hAnsi="Times New Roman" w:cs="Times New Roman"/>
          <w:sz w:val="24"/>
          <w:szCs w:val="24"/>
          <w:lang w:eastAsia="pl-PL"/>
        </w:rPr>
        <w:t xml:space="preserve"> zakresie od 0</w:t>
      </w:r>
      <w:r w:rsidRPr="005924B0">
        <w:rPr>
          <w:rFonts w:ascii="Times New Roman" w:eastAsiaTheme="minorEastAsia" w:hAnsi="Times New Roman" w:cs="Times New Roman"/>
          <w:color w:val="000000"/>
          <w:sz w:val="24"/>
          <w:szCs w:val="24"/>
          <w:lang w:eastAsia="pl-PL"/>
        </w:rPr>
        <w:t xml:space="preserve"> do </w:t>
      </w:r>
      <w:r w:rsidRPr="005924B0">
        <w:rPr>
          <w:rFonts w:ascii="Times New Roman" w:eastAsiaTheme="minorEastAsia" w:hAnsi="Times New Roman" w:cs="Times New Roman"/>
          <w:sz w:val="24"/>
          <w:szCs w:val="24"/>
          <w:lang w:eastAsia="pl-PL"/>
        </w:rPr>
        <w:t>+5 cm, przy czym szerokość warstwy wiążącej powinna być odpowiednio szersza, tak aby stanowiła odsadzkę dla warstwy ścieralnej. W przypadku wyprofilowanej ukośnej krawędzi szerokość należy mierzyć w środku linii skosu.</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6.5.7.</w:t>
      </w:r>
      <w:r w:rsidRPr="005924B0">
        <w:rPr>
          <w:rFonts w:ascii="Times New Roman" w:eastAsiaTheme="minorEastAsia" w:hAnsi="Times New Roman" w:cs="Times New Roman"/>
          <w:sz w:val="24"/>
          <w:szCs w:val="24"/>
          <w:lang w:eastAsia="pl-PL"/>
        </w:rPr>
        <w:t xml:space="preserve"> Rzędne wysokościowe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5924B0" w:rsidRPr="005924B0" w:rsidRDefault="005924B0" w:rsidP="005924B0">
      <w:pPr>
        <w:keepNext/>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6.5. 8.</w:t>
      </w:r>
      <w:r w:rsidRPr="005924B0">
        <w:rPr>
          <w:rFonts w:ascii="Times New Roman" w:eastAsiaTheme="minorEastAsia" w:hAnsi="Times New Roman" w:cs="Times New Roman"/>
          <w:sz w:val="24"/>
          <w:szCs w:val="24"/>
          <w:lang w:eastAsia="pl-PL"/>
        </w:rPr>
        <w:t xml:space="preserve"> Ukształtowanie osi w planie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Ukształtowanie osi w planie, mierzone co 100 m, nie powinno różnić się od dokumentacji projektowej o więcej niż ± 5 cm.</w:t>
      </w:r>
    </w:p>
    <w:p w:rsidR="005924B0" w:rsidRPr="005924B0" w:rsidRDefault="005924B0" w:rsidP="005924B0">
      <w:pPr>
        <w:overflowPunct w:val="0"/>
        <w:autoSpaceDE w:val="0"/>
        <w:autoSpaceDN w:val="0"/>
        <w:spacing w:before="120"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b/>
          <w:bCs/>
          <w:sz w:val="24"/>
          <w:szCs w:val="24"/>
          <w:lang w:eastAsia="pl-PL"/>
        </w:rPr>
        <w:t>6.5.9.</w:t>
      </w:r>
      <w:r w:rsidRPr="005924B0">
        <w:rPr>
          <w:rFonts w:ascii="Times New Roman" w:eastAsiaTheme="minorEastAsia" w:hAnsi="Times New Roman" w:cs="Times New Roman"/>
          <w:sz w:val="24"/>
          <w:szCs w:val="24"/>
          <w:lang w:eastAsia="pl-PL"/>
        </w:rPr>
        <w:t xml:space="preserve"> Ocena wizualna warstwy </w:t>
      </w:r>
    </w:p>
    <w:p w:rsidR="005924B0" w:rsidRPr="005924B0" w:rsidRDefault="005924B0" w:rsidP="005924B0">
      <w:pPr>
        <w:overflowPunct w:val="0"/>
        <w:autoSpaceDE w:val="0"/>
        <w:autoSpaceDN w:val="0"/>
        <w:spacing w:after="0" w:line="240" w:lineRule="auto"/>
        <w:ind w:firstLine="709"/>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Wygląd zewnętrzny warstwy, sprawdzony wizualnie, powinien być jednorodny, bez spękań, deformacji, plam i wykruszeń.</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6.6. Badania kontrolne dodatkowe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 wypadku uznania, że jeden z wyników badań kontrolnych nie jest reprezentatywny dla ocenianego odcinka budowy, Wykonawca ma prawo żądać przeprowadzenia badań kontrolnych dodatkowych.</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Do odbioru uwzględniane są wyniki badań kontrolnych i badań kontrolnych dodatkowych do wyznaczonych odcinków częściowych.</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Koszty badań kontrolnych dodatkowych zażądanych przez Wykonawcę ponosi Wykonawca.</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6.7. Badania arbitrażowe</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Badania arbitrażowe są powtórzeniem badań kontrolnych, co do których istnieją uzasadnione wątpliwości ze strony Inżyniera lub Wykonawcy (np. na podstawie własnych badań).</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Badania arbitrażowe wykonuje na wniosek strony kontraktu niezależne laboratorium, które nie wykonywało badań kontrolnych.</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Koszty badań arbitrażowych wraz ze wszystkimi kosztami ubocznymi ponosi strona, na której niekorzyść przemawia wynik badania.</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22" w:name="_Toc461543724"/>
      <w:bookmarkStart w:id="23" w:name="_Toc413234109"/>
      <w:r w:rsidRPr="005924B0">
        <w:rPr>
          <w:rFonts w:ascii="Times New Roman" w:eastAsia="Times New Roman" w:hAnsi="Times New Roman" w:cs="Times New Roman"/>
          <w:b/>
          <w:bCs/>
          <w:caps/>
          <w:kern w:val="36"/>
          <w:sz w:val="24"/>
          <w:szCs w:val="24"/>
          <w:lang w:eastAsia="pl-PL"/>
        </w:rPr>
        <w:t>7. Obmiar robót</w:t>
      </w:r>
      <w:bookmarkEnd w:id="22"/>
      <w:bookmarkEnd w:id="23"/>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7.1. Ogólne zasady obmiaru robót</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            Ogólne </w:t>
      </w:r>
      <w:r w:rsidR="00071AF0">
        <w:rPr>
          <w:rFonts w:ascii="Times New Roman" w:eastAsiaTheme="minorEastAsia" w:hAnsi="Times New Roman" w:cs="Times New Roman"/>
          <w:sz w:val="24"/>
          <w:szCs w:val="24"/>
          <w:lang w:eastAsia="pl-PL"/>
        </w:rPr>
        <w:t xml:space="preserve">zasady obmiaru robót podano w </w:t>
      </w:r>
      <w:proofErr w:type="gramStart"/>
      <w:r w:rsidRPr="005924B0">
        <w:rPr>
          <w:rFonts w:ascii="Times New Roman" w:eastAsiaTheme="minorEastAsia" w:hAnsi="Times New Roman" w:cs="Times New Roman"/>
          <w:sz w:val="24"/>
          <w:szCs w:val="24"/>
          <w:lang w:eastAsia="pl-PL"/>
        </w:rPr>
        <w:t>ST  D</w:t>
      </w:r>
      <w:proofErr w:type="gramEnd"/>
      <w:r w:rsidRPr="005924B0">
        <w:rPr>
          <w:rFonts w:ascii="Times New Roman" w:eastAsiaTheme="minorEastAsia" w:hAnsi="Times New Roman" w:cs="Times New Roman"/>
          <w:sz w:val="24"/>
          <w:szCs w:val="24"/>
          <w:lang w:eastAsia="pl-PL"/>
        </w:rPr>
        <w:t>-M-00.00.00 „Wymagania ogólne” [1] pkt 7.</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lastRenderedPageBreak/>
        <w:t>7.2. Jednostka obmiarowa</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Jednostką obmiarową jest m</w:t>
      </w:r>
      <w:r w:rsidRPr="005924B0">
        <w:rPr>
          <w:rFonts w:ascii="Times New Roman" w:eastAsiaTheme="minorEastAsia" w:hAnsi="Times New Roman" w:cs="Times New Roman"/>
          <w:sz w:val="24"/>
          <w:szCs w:val="24"/>
          <w:vertAlign w:val="superscript"/>
          <w:lang w:eastAsia="pl-PL"/>
        </w:rPr>
        <w:t>2</w:t>
      </w:r>
      <w:r w:rsidRPr="005924B0">
        <w:rPr>
          <w:rFonts w:ascii="Times New Roman" w:eastAsiaTheme="minorEastAsia" w:hAnsi="Times New Roman" w:cs="Times New Roman"/>
          <w:sz w:val="24"/>
          <w:szCs w:val="24"/>
          <w:lang w:eastAsia="pl-PL"/>
        </w:rPr>
        <w:t xml:space="preserve"> (metr kwadratowy) wykonanej warstwy podbudowy z betonu asfaltowego (ACP).</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24" w:name="_Toc461543725"/>
      <w:bookmarkStart w:id="25" w:name="_Toc413234110"/>
      <w:r w:rsidRPr="005924B0">
        <w:rPr>
          <w:rFonts w:ascii="Times New Roman" w:eastAsia="Times New Roman" w:hAnsi="Times New Roman" w:cs="Times New Roman"/>
          <w:b/>
          <w:bCs/>
          <w:caps/>
          <w:kern w:val="36"/>
          <w:sz w:val="24"/>
          <w:szCs w:val="24"/>
          <w:lang w:eastAsia="pl-PL"/>
        </w:rPr>
        <w:t>8. Odbiór robót</w:t>
      </w:r>
      <w:bookmarkEnd w:id="24"/>
      <w:bookmarkEnd w:id="25"/>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Ogólne zasa</w:t>
      </w:r>
      <w:r w:rsidR="00071AF0">
        <w:rPr>
          <w:rFonts w:ascii="Times New Roman" w:eastAsiaTheme="minorEastAsia" w:hAnsi="Times New Roman" w:cs="Times New Roman"/>
          <w:sz w:val="24"/>
          <w:szCs w:val="24"/>
          <w:lang w:eastAsia="pl-PL"/>
        </w:rPr>
        <w:t xml:space="preserve">dy odbioru robót podano w </w:t>
      </w:r>
      <w:proofErr w:type="gramStart"/>
      <w:r w:rsidRPr="005924B0">
        <w:rPr>
          <w:rFonts w:ascii="Times New Roman" w:eastAsiaTheme="minorEastAsia" w:hAnsi="Times New Roman" w:cs="Times New Roman"/>
          <w:sz w:val="24"/>
          <w:szCs w:val="24"/>
          <w:lang w:eastAsia="pl-PL"/>
        </w:rPr>
        <w:t>ST  D</w:t>
      </w:r>
      <w:proofErr w:type="gramEnd"/>
      <w:r w:rsidRPr="005924B0">
        <w:rPr>
          <w:rFonts w:ascii="Times New Roman" w:eastAsiaTheme="minorEastAsia" w:hAnsi="Times New Roman" w:cs="Times New Roman"/>
          <w:sz w:val="24"/>
          <w:szCs w:val="24"/>
          <w:lang w:eastAsia="pl-PL"/>
        </w:rPr>
        <w:t>-M-00.00.00 „Wymagania ogólne” [1], pkt 8.</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Roboty uznaje się za wykonane zgodnie z dokumentacją projektową, ST i wymaganiami Inżyniera, jeżeli wszystkie pomiary i badania z zachowaniem tolerancji według pktu 6 dały wyniki pozytywne.</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26" w:name="_Toc461543726"/>
      <w:bookmarkStart w:id="27" w:name="_Toc413234111"/>
      <w:r w:rsidRPr="005924B0">
        <w:rPr>
          <w:rFonts w:ascii="Times New Roman" w:eastAsia="Times New Roman" w:hAnsi="Times New Roman" w:cs="Times New Roman"/>
          <w:b/>
          <w:bCs/>
          <w:caps/>
          <w:kern w:val="36"/>
          <w:sz w:val="24"/>
          <w:szCs w:val="24"/>
          <w:lang w:eastAsia="pl-PL"/>
        </w:rPr>
        <w:t>9. Podstawa płatności</w:t>
      </w:r>
      <w:bookmarkEnd w:id="26"/>
      <w:bookmarkEnd w:id="27"/>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9.1. Ogólne ustalenia dotyczące podstawy płatności</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Ogólne ustalenia dotyczą</w:t>
      </w:r>
      <w:r w:rsidR="00071AF0">
        <w:rPr>
          <w:rFonts w:ascii="Times New Roman" w:eastAsiaTheme="minorEastAsia" w:hAnsi="Times New Roman" w:cs="Times New Roman"/>
          <w:sz w:val="24"/>
          <w:szCs w:val="24"/>
          <w:lang w:eastAsia="pl-PL"/>
        </w:rPr>
        <w:t xml:space="preserve">ce podstawy płatności podano w </w:t>
      </w:r>
      <w:r w:rsidRPr="005924B0">
        <w:rPr>
          <w:rFonts w:ascii="Times New Roman" w:eastAsiaTheme="minorEastAsia" w:hAnsi="Times New Roman" w:cs="Times New Roman"/>
          <w:sz w:val="24"/>
          <w:szCs w:val="24"/>
          <w:lang w:eastAsia="pl-PL"/>
        </w:rPr>
        <w:t>ST D-M-00.00.00 „Wymagania ogólne” [1] pkt 9.</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9.2. Cena jednostki obmiarowej</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Cena wykonania 1 m</w:t>
      </w:r>
      <w:r w:rsidRPr="005924B0">
        <w:rPr>
          <w:rFonts w:ascii="Times New Roman" w:eastAsiaTheme="minorEastAsia" w:hAnsi="Times New Roman" w:cs="Times New Roman"/>
          <w:sz w:val="24"/>
          <w:szCs w:val="24"/>
          <w:vertAlign w:val="superscript"/>
          <w:lang w:eastAsia="pl-PL"/>
        </w:rPr>
        <w:t>2</w:t>
      </w:r>
      <w:r w:rsidRPr="005924B0">
        <w:rPr>
          <w:rFonts w:ascii="Times New Roman" w:eastAsiaTheme="minorEastAsia" w:hAnsi="Times New Roman" w:cs="Times New Roman"/>
          <w:sz w:val="24"/>
          <w:szCs w:val="24"/>
          <w:lang w:eastAsia="pl-PL"/>
        </w:rPr>
        <w:t xml:space="preserve"> warstwy podbudowy z betonu asfaltowego (AC P) obejmuje:</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prace pomiarowe i roboty przygotowawcze,</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oznakowanie robót,</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oczyszczenie i skropienie podłoża,</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dostarczenie materiałów i sprzętu,</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opracowanie recepty laboratoryjnej,</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wykonanie próby technologicznej i odcinka próbnego,</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wyprodukowanie mieszanki betonu asfaltowego i jej transport na miejsce wbudowania,</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posmarowanie lepiszczem lub pokrycie taśmą asfaltową krawędzi urządzeń obcych i krawężników,</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rozłożenie i zagęszczenie mieszanki betonu asfaltowego,</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obcięcie krawędzi i posmarowanie lepiszczem,</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 xml:space="preserve">przeprowadzenie pomiarów i </w:t>
      </w:r>
      <w:proofErr w:type="gramStart"/>
      <w:r w:rsidRPr="005924B0">
        <w:rPr>
          <w:rFonts w:ascii="Times New Roman" w:eastAsiaTheme="minorEastAsia" w:hAnsi="Times New Roman" w:cs="Times New Roman"/>
          <w:sz w:val="24"/>
          <w:szCs w:val="24"/>
          <w:lang w:eastAsia="pl-PL"/>
        </w:rPr>
        <w:t>badań  wymaganych</w:t>
      </w:r>
      <w:proofErr w:type="gramEnd"/>
      <w:r w:rsidRPr="005924B0">
        <w:rPr>
          <w:rFonts w:ascii="Times New Roman" w:eastAsiaTheme="minorEastAsia" w:hAnsi="Times New Roman" w:cs="Times New Roman"/>
          <w:sz w:val="24"/>
          <w:szCs w:val="24"/>
          <w:lang w:eastAsia="pl-PL"/>
        </w:rPr>
        <w:t xml:space="preserve"> w specyfikacji technicznej,</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odwiezienie sprzętu.</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9.3. Sposób rozliczenia robót tymczasowych i prac towarzyszących</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Cena wykonan</w:t>
      </w:r>
      <w:r w:rsidR="00071AF0">
        <w:rPr>
          <w:rFonts w:ascii="Times New Roman" w:eastAsiaTheme="minorEastAsia" w:hAnsi="Times New Roman" w:cs="Times New Roman"/>
          <w:sz w:val="24"/>
          <w:szCs w:val="24"/>
          <w:lang w:eastAsia="pl-PL"/>
        </w:rPr>
        <w:t xml:space="preserve">ia robót określonych niniejszą </w:t>
      </w:r>
      <w:r w:rsidRPr="005924B0">
        <w:rPr>
          <w:rFonts w:ascii="Times New Roman" w:eastAsiaTheme="minorEastAsia" w:hAnsi="Times New Roman" w:cs="Times New Roman"/>
          <w:sz w:val="24"/>
          <w:szCs w:val="24"/>
          <w:lang w:eastAsia="pl-PL"/>
        </w:rPr>
        <w:t>ST obejmuje:</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roboty tymczasowe, które są potrzebne do wykonania robót podstawowych, ale nie są przekazywane Zamawiającemu i są usuwane po wykonaniu robót podstawowych,</w:t>
      </w:r>
    </w:p>
    <w:p w:rsidR="005924B0" w:rsidRPr="005924B0" w:rsidRDefault="005924B0" w:rsidP="005924B0">
      <w:pPr>
        <w:overflowPunct w:val="0"/>
        <w:autoSpaceDE w:val="0"/>
        <w:autoSpaceDN w:val="0"/>
        <w:spacing w:after="0" w:line="240" w:lineRule="auto"/>
        <w:ind w:left="283" w:hanging="283"/>
        <w:jc w:val="both"/>
        <w:rPr>
          <w:rFonts w:ascii="Times New Roman" w:eastAsiaTheme="minorEastAsia" w:hAnsi="Times New Roman" w:cs="Times New Roman"/>
          <w:sz w:val="24"/>
          <w:szCs w:val="24"/>
          <w:lang w:eastAsia="pl-PL"/>
        </w:rPr>
      </w:pPr>
      <w:r w:rsidRPr="005924B0">
        <w:rPr>
          <w:rFonts w:ascii="Symbol" w:eastAsiaTheme="minorEastAsia" w:hAnsi="Symbol" w:cs="Times New Roman"/>
          <w:sz w:val="20"/>
          <w:szCs w:val="20"/>
          <w:lang w:eastAsia="pl-PL"/>
        </w:rPr>
        <w:t></w:t>
      </w:r>
      <w:r w:rsidRPr="005924B0">
        <w:rPr>
          <w:rFonts w:ascii="Times New Roman" w:eastAsiaTheme="minorEastAsia" w:hAnsi="Times New Roman" w:cs="Times New Roman"/>
          <w:sz w:val="14"/>
          <w:szCs w:val="14"/>
          <w:lang w:eastAsia="pl-PL"/>
        </w:rPr>
        <w:t xml:space="preserve">      </w:t>
      </w:r>
      <w:r w:rsidRPr="005924B0">
        <w:rPr>
          <w:rFonts w:ascii="Times New Roman" w:eastAsiaTheme="minorEastAsia" w:hAnsi="Times New Roman" w:cs="Times New Roman"/>
          <w:sz w:val="24"/>
          <w:szCs w:val="24"/>
          <w:lang w:eastAsia="pl-PL"/>
        </w:rPr>
        <w:t>prace towarzyszące, które są niezbędne do wykonania robót podstawowych, niezaliczane do robót tymczasowych, jak geodezyjne wytyczenie robót itd.</w:t>
      </w:r>
    </w:p>
    <w:p w:rsidR="005924B0" w:rsidRPr="005924B0" w:rsidRDefault="005924B0" w:rsidP="005924B0">
      <w:pPr>
        <w:keepNext/>
        <w:overflowPunct w:val="0"/>
        <w:autoSpaceDE w:val="0"/>
        <w:autoSpaceDN w:val="0"/>
        <w:spacing w:before="240" w:after="120" w:line="240" w:lineRule="auto"/>
        <w:jc w:val="both"/>
        <w:outlineLvl w:val="0"/>
        <w:rPr>
          <w:rFonts w:ascii="Times New Roman" w:eastAsia="Times New Roman" w:hAnsi="Times New Roman" w:cs="Times New Roman"/>
          <w:b/>
          <w:bCs/>
          <w:caps/>
          <w:kern w:val="36"/>
          <w:sz w:val="24"/>
          <w:szCs w:val="24"/>
          <w:lang w:eastAsia="pl-PL"/>
        </w:rPr>
      </w:pPr>
      <w:bookmarkStart w:id="28" w:name="_Toc461543727"/>
      <w:bookmarkStart w:id="29" w:name="_Toc413234112"/>
      <w:r w:rsidRPr="005924B0">
        <w:rPr>
          <w:rFonts w:ascii="Times New Roman" w:eastAsia="Times New Roman" w:hAnsi="Times New Roman" w:cs="Times New Roman"/>
          <w:b/>
          <w:bCs/>
          <w:caps/>
          <w:kern w:val="36"/>
          <w:sz w:val="24"/>
          <w:szCs w:val="24"/>
          <w:lang w:eastAsia="pl-PL"/>
        </w:rPr>
        <w:t>10. Przepisy związane</w:t>
      </w:r>
      <w:bookmarkEnd w:id="28"/>
      <w:bookmarkEnd w:id="29"/>
    </w:p>
    <w:p w:rsidR="005924B0" w:rsidRPr="005924B0" w:rsidRDefault="00071AF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10.1. S</w:t>
      </w:r>
      <w:r w:rsidR="005924B0" w:rsidRPr="005924B0">
        <w:rPr>
          <w:rFonts w:ascii="Times New Roman" w:eastAsia="Times New Roman" w:hAnsi="Times New Roman" w:cs="Times New Roman"/>
          <w:b/>
          <w:bCs/>
          <w:sz w:val="24"/>
          <w:szCs w:val="24"/>
          <w:lang w:eastAsia="pl-PL"/>
        </w:rPr>
        <w:t>pecyfikacje techniczne (ST)</w:t>
      </w:r>
    </w:p>
    <w:tbl>
      <w:tblPr>
        <w:tblW w:w="0" w:type="auto"/>
        <w:tblCellMar>
          <w:left w:w="0" w:type="dxa"/>
          <w:right w:w="0" w:type="dxa"/>
        </w:tblCellMar>
        <w:tblLook w:val="04A0" w:firstRow="1" w:lastRow="0" w:firstColumn="1" w:lastColumn="0" w:noHBand="0" w:noVBand="1"/>
      </w:tblPr>
      <w:tblGrid>
        <w:gridCol w:w="585"/>
        <w:gridCol w:w="1795"/>
        <w:gridCol w:w="6692"/>
      </w:tblGrid>
      <w:tr w:rsidR="005924B0" w:rsidRPr="005924B0" w:rsidTr="005924B0">
        <w:tc>
          <w:tcPr>
            <w:tcW w:w="637" w:type="dxa"/>
            <w:tcMar>
              <w:top w:w="0" w:type="dxa"/>
              <w:left w:w="70" w:type="dxa"/>
              <w:bottom w:w="0" w:type="dxa"/>
              <w:right w:w="70"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w:t>
            </w:r>
          </w:p>
        </w:tc>
        <w:tc>
          <w:tcPr>
            <w:tcW w:w="1953" w:type="dxa"/>
            <w:tcMar>
              <w:top w:w="0" w:type="dxa"/>
              <w:left w:w="70" w:type="dxa"/>
              <w:bottom w:w="0" w:type="dxa"/>
              <w:right w:w="70"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D-M-00.00.00</w:t>
            </w:r>
          </w:p>
        </w:tc>
        <w:tc>
          <w:tcPr>
            <w:tcW w:w="7616" w:type="dxa"/>
            <w:tcMar>
              <w:top w:w="0" w:type="dxa"/>
              <w:left w:w="70" w:type="dxa"/>
              <w:bottom w:w="0" w:type="dxa"/>
              <w:right w:w="70"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Wymagania ogólne</w:t>
            </w:r>
          </w:p>
        </w:tc>
      </w:tr>
      <w:tr w:rsidR="005924B0" w:rsidRPr="005924B0" w:rsidTr="005924B0">
        <w:tc>
          <w:tcPr>
            <w:tcW w:w="637" w:type="dxa"/>
            <w:tcMar>
              <w:top w:w="0" w:type="dxa"/>
              <w:left w:w="70" w:type="dxa"/>
              <w:bottom w:w="0" w:type="dxa"/>
              <w:right w:w="70" w:type="dxa"/>
            </w:tcMar>
            <w:hideMark/>
          </w:tcPr>
          <w:p w:rsidR="005924B0" w:rsidRPr="005924B0" w:rsidRDefault="005924B0" w:rsidP="005924B0">
            <w:pPr>
              <w:overflowPunct w:val="0"/>
              <w:autoSpaceDE w:val="0"/>
              <w:autoSpaceDN w:val="0"/>
              <w:spacing w:after="0" w:line="240" w:lineRule="auto"/>
              <w:jc w:val="center"/>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w:t>
            </w:r>
          </w:p>
        </w:tc>
        <w:tc>
          <w:tcPr>
            <w:tcW w:w="1953" w:type="dxa"/>
            <w:tcMar>
              <w:top w:w="0" w:type="dxa"/>
              <w:left w:w="70" w:type="dxa"/>
              <w:bottom w:w="0" w:type="dxa"/>
              <w:right w:w="70" w:type="dxa"/>
            </w:tcMar>
            <w:hideMark/>
          </w:tcPr>
          <w:p w:rsidR="005924B0" w:rsidRPr="005924B0" w:rsidRDefault="00071AF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D-04.03.01</w:t>
            </w:r>
          </w:p>
        </w:tc>
        <w:tc>
          <w:tcPr>
            <w:tcW w:w="7616" w:type="dxa"/>
            <w:tcMar>
              <w:top w:w="0" w:type="dxa"/>
              <w:left w:w="70" w:type="dxa"/>
              <w:bottom w:w="0" w:type="dxa"/>
              <w:right w:w="70"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Połączenie międzywarstwowe nawierzchni drogowej emulsją asfaltową</w:t>
            </w:r>
          </w:p>
        </w:tc>
      </w:tr>
    </w:tbl>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10.2. Normy</w:t>
      </w:r>
    </w:p>
    <w:p w:rsidR="005924B0" w:rsidRPr="005924B0" w:rsidRDefault="005924B0" w:rsidP="005924B0">
      <w:pPr>
        <w:overflowPunct w:val="0"/>
        <w:autoSpaceDE w:val="0"/>
        <w:autoSpaceDN w:val="0"/>
        <w:spacing w:after="12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(Zestawienie zawiera dodatkowo normy PN-EN związane z badaniami materia</w:t>
      </w:r>
      <w:r w:rsidR="00071AF0">
        <w:rPr>
          <w:rFonts w:ascii="Times New Roman" w:eastAsiaTheme="minorEastAsia" w:hAnsi="Times New Roman" w:cs="Times New Roman"/>
          <w:sz w:val="24"/>
          <w:szCs w:val="24"/>
          <w:lang w:eastAsia="pl-PL"/>
        </w:rPr>
        <w:t xml:space="preserve">łów występujących w niniejszej </w:t>
      </w:r>
      <w:r w:rsidRPr="005924B0">
        <w:rPr>
          <w:rFonts w:ascii="Times New Roman" w:eastAsiaTheme="minorEastAsia" w:hAnsi="Times New Roman" w:cs="Times New Roman"/>
          <w:sz w:val="24"/>
          <w:szCs w:val="24"/>
          <w:lang w:eastAsia="pl-PL"/>
        </w:rPr>
        <w:t>ST)</w:t>
      </w:r>
    </w:p>
    <w:tbl>
      <w:tblPr>
        <w:tblW w:w="0" w:type="auto"/>
        <w:tblCellMar>
          <w:left w:w="0" w:type="dxa"/>
          <w:right w:w="0" w:type="dxa"/>
        </w:tblCellMar>
        <w:tblLook w:val="04A0" w:firstRow="1" w:lastRow="0" w:firstColumn="1" w:lastColumn="0" w:noHBand="0" w:noVBand="1"/>
      </w:tblPr>
      <w:tblGrid>
        <w:gridCol w:w="663"/>
        <w:gridCol w:w="1969"/>
        <w:gridCol w:w="6440"/>
      </w:tblGrid>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3.</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196-2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Metody badania cementu - Część 2: Analiza chemiczna cementu</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459-2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Wapno budowlane – Część 2: Metody badań</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932-3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podstawowych właściwości kruszyw – Procedura i terminologia uproszczonego opisu petrograficznego</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geometrycznych właściwości kruszyw – Część 1: Oznaczanie składu ziarnowego – Metoda przesiewania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geometrycznych właściwości kruszyw – Część 3: Oznaczanie kształtu ziarn za pomocą wskaźnika płaskości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933-4</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geometrycznych właściwości kruszyw – Część 4: Oznaczanie kształtu ziarn – Wskaźnik kształtu</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9.</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933-5</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geometrycznych właściwości kruszyw – Oznaczanie procentowej zawartości ziarn o powierzchniach powstałych w wyniku przekruszenia lub łamania kruszyw grubych</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10.</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933-6</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geometrycznych właściwości kruszyw – Część 6: Ocena właściwości powierzchni – Wskaźnik przepływu kruszyw</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11.</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933-9</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geometrycznych właściwości kruszyw – Część 9: Ocena zawartości drobnych cząstek – Badania błękitem metylenowym</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12.</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933-10</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geometrycznych właściwości kruszyw – Część 10: Ocena zawartości drobnych cząstek – Uziarnienie wypełniaczy (przesiewanie w strumieniu powietrza)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13.</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1097-2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mechanicznych i fizycznych właściwości kruszyw - Część 2: Metody oznaczania odporności na rozdrabnianie</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14.</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1097-3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mechanicznych i fizycznych właściwości kruszyw - Oznaczanie gęstości nasypowej i jamistości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15.</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1097-4</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mechanicznych i fizycznych właściwości kruszyw – Część 4: Oznaczanie pustych przestrzeni suchego, zagęszczonego wypełniacza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16.</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1097-5</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mechanicznych i fizycznych właściwości kruszyw – Część 5: Oznaczanie zawartości wody przez suszenie w suszarce z wentylacją</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17.</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1097-6</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mechanicznych i fizycznych właściwości kruszyw –Część 6: Oznaczanie gęstości ziarn i nasiąkliwości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18.</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1097-7</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mechanicznych i fizycznych właściwości kruszyw – Część 7: Oznaczanie gęstości wypełniacza – Metoda piknometryczna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19.</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1367-1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właściwości cieplnych i odporności kruszyw na działanie czynników atmosferycznych – Część 1: Oznaczanie mrozoodporności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20.</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1367-3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właściwości cieplnych i odporności kruszyw na działanie czynników atmosferycznych – Część 3: Badanie bazaltowej zgorzeli słonecznej metodą gotowania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21.</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1426</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produkty asfaltowe – Oznaczanie penetracji igłą</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22. </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1427</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produkty asfaltowe – Oznaczanie temperatury mięknienia – Metoda Pierścień i Kula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23.</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1744-1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chemicznych właściwości kruszyw – Analiza chemiczna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24.</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produkty asfaltowe – Wymagania dla asfaltów drogowych</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25.</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produkty asfaltowe – Oznaczanie rozpuszczalności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26.</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produkty asfaltowe – Oznaczanie temperatury łamliwości Fraassa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27.</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12595</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lepkości kinematycznej</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28.</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12596</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lepkości dynamicznej metodą próżniowej kapilary</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29.</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12607-1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Asfalty i produkty asfaltowe – Oznaczanie odporności na twardnienie pod wpływem ciepła i powietrza – Część 1: Metoda RTFOT </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30.</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12607-3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produkty asfaltowe – Oznaczanie odporności na twardnienie pod wpływem ciepła i powietrza – Część 3: Metoda RFT</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31.</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1: Zawartość lepiszcza rozpuszczalnego</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32.</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2: Oznaczanie składu ziarnowego</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33.</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3: Odzyskiwanie asfaltu: Wyparka obrotowa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34.</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12697-4</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4: Odzyskiwanie asfaltu -- Kolumna do destylacji frakcyjnej</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35.</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12697-5</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5: Oznaczanie gęstości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36.</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12697-6</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6: Oznaczanie gęstości objętościowej próbek mieszanki mineralno-asfaltowej</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37.</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12697-8</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8: Oznaczanie zawartości wolnej przestrzeni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38.</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12697-11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11: Oznaczanie powinowactwa pomiędzy kruszywem i asfaltem</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39.</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12697-12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12: Określanie wrażliwości próbek asfaltowych na wodę</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40.</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12697-13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13: Pomiar temperatury</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41.</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22: Koleinowanie</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42.</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12697-24</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24: Odporność na zmęczenie</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43.</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12697-26</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26: Sztywność</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44.</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12697-27</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27: Pobieranie próbek</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45.</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12697-36</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36: Oznaczanie grubości nawierzchni asfaltowych</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46.</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12697-39</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39: Oznaczanie zawartości lepiszcza metodą spalania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47.</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12697-41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41: Odporność na płyny zapobiegające oblodzeniu</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48.</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12697-42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42: Zawartość części obcych w destrukcie asfaltowym</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49.</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12697-43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Metody badań mieszanek mineralno-asfaltowych na gorąco - Część 43: Odporność na paliwo</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50.</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13043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Kruszywa do mieszanek bitumicznych i powierzchniowych utrwaleń stosowanych na drogach, lotniskach i innych powierzchniach przeznaczonych do ruchu</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51.</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13108-1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Wymagania – Część 1: Beton asfaltowy</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52.</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13108-4</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Wymagania - Część 4: Mieszanka HRA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53.</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13108-8</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Wymagania - Część 8: Destrukt asfaltowy</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54.</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13108-20</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Wymagania – Część 20: Badanie typu</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55.</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13108-21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Mieszanki mineralno-asfaltowe - Wymagania - Część 21: Zakładowa kontrola produkcji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56.</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13179-1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kruszyw wypełniających stosowanych do mieszanek bitumicznych – Część 1: Badanie metodą pierścienia delta i kuli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57.</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13179-2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Badania kruszyw wypełniających stosowanych do mieszanek bitumicznych – Część 2: Liczba bitumiczna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58.</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13398</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nawrotu sprężystego asfaltów modyfikowanych</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59.</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13399</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stabilności podczas magazynowania asfaltów modyfikowanych</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60.</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13587</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właściwości mechanicznych lepiszczy asfaltowych metodą rozciągania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61.</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13588</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kohezji lepiszczy asfaltowych metodą testu wahadłowego</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62.</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13589</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siły rozciągania asfaltów modyfikowanych – Metoda z duktylometrem</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63.</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13703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energii odkształcenia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64.</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13808</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Zasady specyfikacji kationowych emulsji asfaltowych</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64a.</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13808:2013-10/Ap1:2014-07</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Zasady specyfikacji kationowych emulsji asfaltowych. Załącznik krajowy NA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lastRenderedPageBreak/>
              <w:t>65.</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13924-2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Asfalty i lepiszcza asfaltowe - Zasady klasyfikacji asfaltów drogowych specjalnych - Część 2: Asfalty drogowe wielorodzajowe </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65a.</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PN-EN 13924-2:</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2014-04/Ap1:</w:t>
            </w:r>
          </w:p>
          <w:p w:rsidR="005924B0" w:rsidRPr="005924B0" w:rsidRDefault="005924B0" w:rsidP="005924B0">
            <w:pPr>
              <w:overflowPunct w:val="0"/>
              <w:autoSpaceDE w:val="0"/>
              <w:autoSpaceDN w:val="0"/>
              <w:spacing w:after="0" w:line="240" w:lineRule="auto"/>
              <w:rPr>
                <w:rFonts w:ascii="Times New Roman" w:eastAsiaTheme="minorEastAsia" w:hAnsi="Times New Roman" w:cs="Times New Roman"/>
                <w:sz w:val="24"/>
                <w:szCs w:val="24"/>
                <w:lang w:val="en-US" w:eastAsia="pl-PL"/>
              </w:rPr>
            </w:pPr>
            <w:r w:rsidRPr="005924B0">
              <w:rPr>
                <w:rFonts w:ascii="Times New Roman" w:eastAsiaTheme="minorEastAsia" w:hAnsi="Times New Roman" w:cs="Times New Roman"/>
                <w:sz w:val="24"/>
                <w:szCs w:val="24"/>
                <w:lang w:val="en-US" w:eastAsia="pl-PL"/>
              </w:rPr>
              <w:t>2014-07 i PN-EN 13924-2:2014-04/Ap2:2015-09E</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Zasady klasyfikacji asfaltów drogowych specjalnych - Część 2: Asfalty drogowe wielorodzajowe. Załącznik krajowy NA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66.</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14023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Zasady specyfikacji asfaltów modyfikowanych polimerami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66a.</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14023:2011/Ap1:</w:t>
            </w:r>
          </w:p>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2014-04</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Zasady klasyfikacji asfaltów modyfikowanych polimerami. Załącznik krajowy NA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67.</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14188-1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Wypełniacze szczelin i zalewy drogowe – Część 1: Wymagania wobec zalew drogowych na gorąco</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68.</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14188-2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Wypełniacze szczelin i zalewy drogowe – Część 2: Wymagania wobec zalew drogowych na zimno</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69.</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22592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Przetwory naftowe – Oznaczanie temperatury zapłonu i palenia – Pomiar metodą otwartego tygla Clevelanda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70.</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ISO 2592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Oznaczanie temperatury zapłonu i palenia – Metoda otwartego tygla Clevelanda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71.</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Zalewy szczelin na gorąco -- Część 2: Metoda badania dla określenia penetracji stożka w temperaturze 25 C</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72.</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Zalewy szczelin na gorąco -- Część 3: Metoda badania określająca penetrację i odprężenie sprężyste (odbojność)</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73.</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13880-5</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Zalewy szczelin na gorąco -- Część 5: Metody badań do oznaczania odporności na spływanie</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74.</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13880-6</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Zalewy szczelin na gorąco -- Część 6: Metoda przygotowania próbek do badania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75.</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13880-13</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Zalewy szczelin na gorąco -- Część 13: Metoda badania służąca do określenia wydłużenia nieciągłego (próba przyczepności)</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76.</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DIN 52123</w:t>
            </w:r>
          </w:p>
        </w:tc>
        <w:tc>
          <w:tcPr>
            <w:tcW w:w="7546" w:type="dxa"/>
            <w:tcMar>
              <w:top w:w="0" w:type="dxa"/>
              <w:left w:w="108" w:type="dxa"/>
              <w:bottom w:w="0" w:type="dxa"/>
              <w:right w:w="108" w:type="dxa"/>
            </w:tcMar>
            <w:hideMark/>
          </w:tcPr>
          <w:p w:rsidR="005924B0" w:rsidRPr="005924B0" w:rsidRDefault="005924B0" w:rsidP="005924B0">
            <w:pPr>
              <w:keepNext/>
              <w:overflowPunct w:val="0"/>
              <w:autoSpaceDE w:val="0"/>
              <w:autoSpaceDN w:val="0"/>
              <w:spacing w:after="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sz w:val="24"/>
                <w:szCs w:val="24"/>
                <w:lang w:eastAsia="pl-PL"/>
              </w:rPr>
              <w:t>Prüfung von Bitumen- und Polymerbitumenbahnen (Badanie taśm bitumicznych i polimerowo-bitumicznych)</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77.</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1425</w:t>
            </w:r>
          </w:p>
        </w:tc>
        <w:tc>
          <w:tcPr>
            <w:tcW w:w="7546" w:type="dxa"/>
            <w:tcMar>
              <w:top w:w="0" w:type="dxa"/>
              <w:left w:w="108" w:type="dxa"/>
              <w:bottom w:w="0" w:type="dxa"/>
              <w:right w:w="108" w:type="dxa"/>
            </w:tcMar>
            <w:hideMark/>
          </w:tcPr>
          <w:p w:rsidR="005924B0" w:rsidRPr="005924B0" w:rsidRDefault="005924B0" w:rsidP="005924B0">
            <w:pPr>
              <w:keepNext/>
              <w:overflowPunct w:val="0"/>
              <w:autoSpaceDE w:val="0"/>
              <w:autoSpaceDN w:val="0"/>
              <w:spacing w:after="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sz w:val="24"/>
                <w:szCs w:val="24"/>
                <w:lang w:eastAsia="pl-PL"/>
              </w:rPr>
              <w:t>Asfalty i lepiszcza asfaltowe -- Ocena organoleptyczna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78.</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1428</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Oznaczanie zawartości wody w emulsjach asfaltowych -- Metoda destylacji azeotropowej</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79.</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13074-1</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Odzyskiwanie lepiszcza z emulsji asfaltowych lub asfaltów upłynnionych lub fluksowanych -- Część 1: Odzyskiwanie metodą odparowania</w:t>
            </w:r>
          </w:p>
        </w:tc>
      </w:tr>
      <w:tr w:rsidR="005924B0" w:rsidRPr="005924B0" w:rsidTr="005924B0">
        <w:tc>
          <w:tcPr>
            <w:tcW w:w="67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right"/>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80.</w:t>
            </w:r>
          </w:p>
        </w:tc>
        <w:tc>
          <w:tcPr>
            <w:tcW w:w="1985"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PN-EN 13074-2</w:t>
            </w:r>
          </w:p>
        </w:tc>
        <w:tc>
          <w:tcPr>
            <w:tcW w:w="7546" w:type="dxa"/>
            <w:tcMar>
              <w:top w:w="0" w:type="dxa"/>
              <w:left w:w="108" w:type="dxa"/>
              <w:bottom w:w="0" w:type="dxa"/>
              <w:right w:w="108" w:type="dxa"/>
            </w:tcMar>
            <w:hideMark/>
          </w:tcPr>
          <w:p w:rsidR="005924B0" w:rsidRPr="005924B0" w:rsidRDefault="005924B0" w:rsidP="005924B0">
            <w:pPr>
              <w:overflowPunct w:val="0"/>
              <w:autoSpaceDE w:val="0"/>
              <w:autoSpaceDN w:val="0"/>
              <w:spacing w:after="0" w:line="240" w:lineRule="auto"/>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Asfalty i lepiszcza asfaltowe -- Odzyskiwanie lepiszcza z emulsji asfaltowych lub asfaltów upłynnionych lub fluksowanych -- Część 2: Stabilizacja po odzyskaniu metodą odparowania</w:t>
            </w:r>
          </w:p>
        </w:tc>
      </w:tr>
    </w:tbl>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10.3. Wymagania techniczne i katalogi</w:t>
      </w:r>
    </w:p>
    <w:p w:rsidR="005924B0" w:rsidRPr="005924B0" w:rsidRDefault="005924B0" w:rsidP="005924B0">
      <w:pPr>
        <w:overflowPunct w:val="0"/>
        <w:autoSpaceDE w:val="0"/>
        <w:autoSpaceDN w:val="0"/>
        <w:spacing w:after="0" w:line="240" w:lineRule="auto"/>
        <w:ind w:left="709"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81. Kruszywa do mieszanek mineralno-asfaltowych i powierzchniowych utrwaleń na drogach krajowych - WT-1 2014 - Kruszywa – Wymagania techniczne. Załącznik do Zarządzenia Generalnego Dyrektora Dróg Krajowych i Autostrad nr </w:t>
      </w:r>
      <w:proofErr w:type="gramStart"/>
      <w:r w:rsidRPr="005924B0">
        <w:rPr>
          <w:rFonts w:ascii="Times New Roman" w:eastAsiaTheme="minorEastAsia" w:hAnsi="Times New Roman" w:cs="Times New Roman"/>
          <w:sz w:val="24"/>
          <w:szCs w:val="24"/>
          <w:lang w:eastAsia="pl-PL"/>
        </w:rPr>
        <w:t>46  z</w:t>
      </w:r>
      <w:proofErr w:type="gramEnd"/>
      <w:r w:rsidRPr="005924B0">
        <w:rPr>
          <w:rFonts w:ascii="Times New Roman" w:eastAsiaTheme="minorEastAsia" w:hAnsi="Times New Roman" w:cs="Times New Roman"/>
          <w:sz w:val="24"/>
          <w:szCs w:val="24"/>
          <w:lang w:eastAsia="pl-PL"/>
        </w:rPr>
        <w:t xml:space="preserve"> dnia 25 września 2014 r. i nr 8 z dnia 9 maja 2016 r.</w:t>
      </w:r>
    </w:p>
    <w:p w:rsidR="005924B0" w:rsidRPr="005924B0" w:rsidRDefault="005924B0" w:rsidP="005924B0">
      <w:pPr>
        <w:overflowPunct w:val="0"/>
        <w:autoSpaceDE w:val="0"/>
        <w:autoSpaceDN w:val="0"/>
        <w:spacing w:after="0" w:line="240" w:lineRule="auto"/>
        <w:ind w:left="709"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xml:space="preserve">82. Nawierzchnie asfaltowe na drogach krajowych - WT-2 2014 – część I - Mieszanki mineralno-asfaltowe. Wymagania Techniczne. Załącznik do Zarządzenia nr 54 </w:t>
      </w:r>
      <w:r w:rsidRPr="005924B0">
        <w:rPr>
          <w:rFonts w:ascii="Times New Roman" w:eastAsiaTheme="minorEastAsia" w:hAnsi="Times New Roman" w:cs="Times New Roman"/>
          <w:sz w:val="24"/>
          <w:szCs w:val="24"/>
          <w:lang w:eastAsia="pl-PL"/>
        </w:rPr>
        <w:lastRenderedPageBreak/>
        <w:t xml:space="preserve">Generalnego Dyrektora Dróg Krajowych i Autostrad z dnia 18 listopada 2014 roku zmieniającego zarządzenie w sprawie stosowania wymagań technicznych na drogach krajowych dotyczących mieszanek mineralno-asfaltowych. </w:t>
      </w:r>
    </w:p>
    <w:p w:rsidR="005924B0" w:rsidRPr="005924B0" w:rsidRDefault="005924B0" w:rsidP="005924B0">
      <w:pPr>
        <w:overflowPunct w:val="0"/>
        <w:autoSpaceDE w:val="0"/>
        <w:autoSpaceDN w:val="0"/>
        <w:spacing w:after="0" w:line="240" w:lineRule="auto"/>
        <w:ind w:left="709"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83. 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5924B0" w:rsidRPr="005924B0" w:rsidRDefault="005924B0" w:rsidP="005924B0">
      <w:pPr>
        <w:overflowPunct w:val="0"/>
        <w:autoSpaceDE w:val="0"/>
        <w:autoSpaceDN w:val="0"/>
        <w:spacing w:after="0" w:line="240" w:lineRule="auto"/>
        <w:ind w:left="709"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84. Katalog typowych konstrukcji nawierzchni podatnych i półsztywnych. Załącznik do Zarządzenia nr 31 Generalnego Dyrektora Dróg Krajowych i Autostrad z dnia 16 czerwca 2014 r.</w:t>
      </w:r>
    </w:p>
    <w:p w:rsidR="005924B0" w:rsidRPr="005924B0" w:rsidRDefault="005924B0" w:rsidP="005924B0">
      <w:pPr>
        <w:keepNext/>
        <w:overflowPunct w:val="0"/>
        <w:autoSpaceDE w:val="0"/>
        <w:autoSpaceDN w:val="0"/>
        <w:spacing w:before="120" w:after="120" w:line="240" w:lineRule="auto"/>
        <w:jc w:val="both"/>
        <w:outlineLvl w:val="1"/>
        <w:rPr>
          <w:rFonts w:ascii="Times New Roman" w:eastAsia="Times New Roman" w:hAnsi="Times New Roman" w:cs="Times New Roman"/>
          <w:b/>
          <w:bCs/>
          <w:sz w:val="24"/>
          <w:szCs w:val="24"/>
          <w:lang w:eastAsia="pl-PL"/>
        </w:rPr>
      </w:pPr>
      <w:r w:rsidRPr="005924B0">
        <w:rPr>
          <w:rFonts w:ascii="Times New Roman" w:eastAsia="Times New Roman" w:hAnsi="Times New Roman" w:cs="Times New Roman"/>
          <w:b/>
          <w:bCs/>
          <w:sz w:val="24"/>
          <w:szCs w:val="24"/>
          <w:lang w:eastAsia="pl-PL"/>
        </w:rPr>
        <w:t>10.4. Inne dokumenty</w:t>
      </w:r>
    </w:p>
    <w:p w:rsidR="005924B0" w:rsidRPr="005924B0" w:rsidRDefault="005924B0" w:rsidP="005924B0">
      <w:pPr>
        <w:overflowPunct w:val="0"/>
        <w:autoSpaceDE w:val="0"/>
        <w:autoSpaceDN w:val="0"/>
        <w:spacing w:after="0" w:line="240" w:lineRule="auto"/>
        <w:ind w:left="709"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85. Rozporządzenie Ministra Transportu i Gospodarki Morskiej z dnia 2 marca 1999 r. w sprawie warunków technicznych, jakim powinny odpowiadać drogi publiczne i ich usytuowanie (jednolity tekst Dz.U. z 2016, poz. 124)</w:t>
      </w:r>
    </w:p>
    <w:p w:rsidR="005924B0" w:rsidRPr="005924B0" w:rsidRDefault="005924B0" w:rsidP="005924B0">
      <w:pPr>
        <w:overflowPunct w:val="0"/>
        <w:autoSpaceDE w:val="0"/>
        <w:autoSpaceDN w:val="0"/>
        <w:spacing w:after="0" w:line="240" w:lineRule="auto"/>
        <w:ind w:left="709" w:hanging="360"/>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86. Ustawa z dnia 19 sierpnia 2011 r. o przewozie drogowym towarów niebezpiecznych (Dz.U. nr 227, poz. 1367 z późn. zm.)</w:t>
      </w:r>
    </w:p>
    <w:p w:rsidR="005924B0" w:rsidRPr="005924B0" w:rsidRDefault="005924B0" w:rsidP="005924B0">
      <w:pPr>
        <w:overflowPunct w:val="0"/>
        <w:autoSpaceDE w:val="0"/>
        <w:autoSpaceDN w:val="0"/>
        <w:spacing w:after="0" w:line="240" w:lineRule="auto"/>
        <w:ind w:left="142"/>
        <w:jc w:val="both"/>
        <w:rPr>
          <w:rFonts w:ascii="Times New Roman" w:eastAsiaTheme="minorEastAsia" w:hAnsi="Times New Roman" w:cs="Times New Roman"/>
          <w:sz w:val="24"/>
          <w:szCs w:val="24"/>
          <w:lang w:eastAsia="pl-PL"/>
        </w:rPr>
      </w:pPr>
      <w:r w:rsidRPr="005924B0">
        <w:rPr>
          <w:rFonts w:ascii="Times New Roman" w:eastAsiaTheme="minorEastAsia" w:hAnsi="Times New Roman" w:cs="Times New Roman"/>
          <w:sz w:val="24"/>
          <w:szCs w:val="24"/>
          <w:lang w:eastAsia="pl-PL"/>
        </w:rPr>
        <w:t> </w:t>
      </w:r>
    </w:p>
    <w:p w:rsidR="00975B81" w:rsidRDefault="00975B81"/>
    <w:sectPr w:rsidR="00975B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6CFEB8"/>
    <w:lvl w:ilvl="0">
      <w:start w:val="1"/>
      <w:numFmt w:val="bullet"/>
      <w:pStyle w:val="Listapunktowan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4B0"/>
    <w:rsid w:val="00071AF0"/>
    <w:rsid w:val="001C5401"/>
    <w:rsid w:val="004976DE"/>
    <w:rsid w:val="005924B0"/>
    <w:rsid w:val="00854F2C"/>
    <w:rsid w:val="009120FA"/>
    <w:rsid w:val="00975B81"/>
    <w:rsid w:val="00CE783F"/>
    <w:rsid w:val="00D04C12"/>
    <w:rsid w:val="00E13FFC"/>
    <w:rsid w:val="00EB0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69E7E"/>
  <w15:chartTrackingRefBased/>
  <w15:docId w15:val="{DE3E5996-054D-4D65-875F-F1E4F8E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5924B0"/>
    <w:pPr>
      <w:keepNext/>
      <w:overflowPunct w:val="0"/>
      <w:autoSpaceDE w:val="0"/>
      <w:autoSpaceDN w:val="0"/>
      <w:spacing w:before="240" w:after="120" w:line="240" w:lineRule="auto"/>
      <w:jc w:val="both"/>
      <w:outlineLvl w:val="0"/>
    </w:pPr>
    <w:rPr>
      <w:rFonts w:ascii="Times New Roman" w:eastAsiaTheme="minorEastAsia" w:hAnsi="Times New Roman" w:cs="Times New Roman"/>
      <w:b/>
      <w:bCs/>
      <w:caps/>
      <w:kern w:val="36"/>
      <w:sz w:val="24"/>
      <w:szCs w:val="24"/>
      <w:lang w:eastAsia="pl-PL"/>
    </w:rPr>
  </w:style>
  <w:style w:type="paragraph" w:styleId="Nagwek2">
    <w:name w:val="heading 2"/>
    <w:basedOn w:val="Normalny"/>
    <w:link w:val="Nagwek2Znak"/>
    <w:uiPriority w:val="9"/>
    <w:qFormat/>
    <w:rsid w:val="005924B0"/>
    <w:pPr>
      <w:keepNext/>
      <w:overflowPunct w:val="0"/>
      <w:autoSpaceDE w:val="0"/>
      <w:autoSpaceDN w:val="0"/>
      <w:spacing w:before="120" w:after="120" w:line="240" w:lineRule="auto"/>
      <w:jc w:val="both"/>
      <w:outlineLvl w:val="1"/>
    </w:pPr>
    <w:rPr>
      <w:rFonts w:ascii="Times New Roman" w:eastAsiaTheme="minorEastAsia" w:hAnsi="Times New Roman" w:cs="Times New Roman"/>
      <w:b/>
      <w:bCs/>
      <w:sz w:val="24"/>
      <w:szCs w:val="24"/>
      <w:lang w:eastAsia="pl-PL"/>
    </w:rPr>
  </w:style>
  <w:style w:type="paragraph" w:styleId="Nagwek3">
    <w:name w:val="heading 3"/>
    <w:basedOn w:val="Normalny"/>
    <w:link w:val="Nagwek3Znak"/>
    <w:uiPriority w:val="9"/>
    <w:qFormat/>
    <w:rsid w:val="005924B0"/>
    <w:pPr>
      <w:keepNext/>
      <w:overflowPunct w:val="0"/>
      <w:autoSpaceDE w:val="0"/>
      <w:autoSpaceDN w:val="0"/>
      <w:spacing w:before="60" w:after="60" w:line="240" w:lineRule="auto"/>
      <w:jc w:val="both"/>
      <w:outlineLvl w:val="2"/>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924B0"/>
    <w:rPr>
      <w:rFonts w:ascii="Times New Roman" w:eastAsiaTheme="minorEastAsia" w:hAnsi="Times New Roman" w:cs="Times New Roman"/>
      <w:b/>
      <w:bCs/>
      <w:caps/>
      <w:kern w:val="36"/>
      <w:sz w:val="24"/>
      <w:szCs w:val="24"/>
      <w:lang w:eastAsia="pl-PL"/>
    </w:rPr>
  </w:style>
  <w:style w:type="character" w:customStyle="1" w:styleId="Nagwek2Znak">
    <w:name w:val="Nagłówek 2 Znak"/>
    <w:basedOn w:val="Domylnaczcionkaakapitu"/>
    <w:link w:val="Nagwek2"/>
    <w:uiPriority w:val="9"/>
    <w:rsid w:val="005924B0"/>
    <w:rPr>
      <w:rFonts w:ascii="Times New Roman" w:eastAsiaTheme="minorEastAsia" w:hAnsi="Times New Roman" w:cs="Times New Roman"/>
      <w:b/>
      <w:bCs/>
      <w:sz w:val="24"/>
      <w:szCs w:val="24"/>
      <w:lang w:eastAsia="pl-PL"/>
    </w:rPr>
  </w:style>
  <w:style w:type="character" w:customStyle="1" w:styleId="Nagwek3Znak">
    <w:name w:val="Nagłówek 3 Znak"/>
    <w:basedOn w:val="Domylnaczcionkaakapitu"/>
    <w:link w:val="Nagwek3"/>
    <w:uiPriority w:val="9"/>
    <w:rsid w:val="005924B0"/>
    <w:rPr>
      <w:rFonts w:ascii="Times New Roman" w:eastAsiaTheme="minorEastAsia" w:hAnsi="Times New Roman" w:cs="Times New Roman"/>
      <w:sz w:val="24"/>
      <w:szCs w:val="24"/>
      <w:lang w:eastAsia="pl-PL"/>
    </w:rPr>
  </w:style>
  <w:style w:type="character" w:styleId="Hipercze">
    <w:name w:val="Hyperlink"/>
    <w:basedOn w:val="Domylnaczcionkaakapitu"/>
    <w:uiPriority w:val="99"/>
    <w:semiHidden/>
    <w:unhideWhenUsed/>
    <w:rsid w:val="005924B0"/>
    <w:rPr>
      <w:color w:val="0000FF"/>
      <w:u w:val="single"/>
    </w:rPr>
  </w:style>
  <w:style w:type="character" w:styleId="UyteHipercze">
    <w:name w:val="FollowedHyperlink"/>
    <w:basedOn w:val="Domylnaczcionkaakapitu"/>
    <w:uiPriority w:val="99"/>
    <w:semiHidden/>
    <w:unhideWhenUsed/>
    <w:rsid w:val="005924B0"/>
    <w:rPr>
      <w:color w:val="800080"/>
      <w:u w:val="single"/>
    </w:rPr>
  </w:style>
  <w:style w:type="paragraph" w:styleId="Spistreci1">
    <w:name w:val="toc 1"/>
    <w:basedOn w:val="Normalny"/>
    <w:autoRedefine/>
    <w:uiPriority w:val="39"/>
    <w:semiHidden/>
    <w:unhideWhenUsed/>
    <w:rsid w:val="005924B0"/>
    <w:pPr>
      <w:overflowPunct w:val="0"/>
      <w:autoSpaceDE w:val="0"/>
      <w:autoSpaceDN w:val="0"/>
      <w:spacing w:after="0" w:line="240" w:lineRule="auto"/>
      <w:jc w:val="both"/>
    </w:pPr>
    <w:rPr>
      <w:rFonts w:ascii="Times New Roman" w:eastAsiaTheme="minorEastAsia" w:hAnsi="Times New Roman" w:cs="Times New Roman"/>
      <w:b/>
      <w:bCs/>
      <w:caps/>
      <w:sz w:val="24"/>
      <w:szCs w:val="24"/>
      <w:lang w:eastAsia="pl-PL"/>
    </w:rPr>
  </w:style>
  <w:style w:type="paragraph" w:styleId="Spistreci2">
    <w:name w:val="toc 2"/>
    <w:basedOn w:val="Normalny"/>
    <w:autoRedefine/>
    <w:uiPriority w:val="39"/>
    <w:semiHidden/>
    <w:unhideWhenUsed/>
    <w:rsid w:val="005924B0"/>
    <w:pPr>
      <w:overflowPunct w:val="0"/>
      <w:autoSpaceDE w:val="0"/>
      <w:autoSpaceDN w:val="0"/>
      <w:spacing w:after="0" w:line="240" w:lineRule="auto"/>
      <w:ind w:left="200"/>
    </w:pPr>
    <w:rPr>
      <w:rFonts w:ascii="Times New Roman" w:eastAsiaTheme="minorEastAsia" w:hAnsi="Times New Roman" w:cs="Times New Roman"/>
      <w:sz w:val="24"/>
      <w:szCs w:val="24"/>
      <w:lang w:eastAsia="pl-PL"/>
    </w:rPr>
  </w:style>
  <w:style w:type="paragraph" w:styleId="Spistreci3">
    <w:name w:val="toc 3"/>
    <w:basedOn w:val="Normalny"/>
    <w:autoRedefine/>
    <w:uiPriority w:val="39"/>
    <w:semiHidden/>
    <w:unhideWhenUsed/>
    <w:rsid w:val="005924B0"/>
    <w:pPr>
      <w:overflowPunct w:val="0"/>
      <w:autoSpaceDE w:val="0"/>
      <w:autoSpaceDN w:val="0"/>
      <w:spacing w:after="0" w:line="240" w:lineRule="auto"/>
      <w:ind w:left="400"/>
    </w:pPr>
    <w:rPr>
      <w:rFonts w:ascii="Times New Roman" w:eastAsiaTheme="minorEastAsia" w:hAnsi="Times New Roman" w:cs="Times New Roman"/>
      <w:sz w:val="24"/>
      <w:szCs w:val="24"/>
      <w:lang w:eastAsia="pl-PL"/>
    </w:rPr>
  </w:style>
  <w:style w:type="paragraph" w:styleId="Spistreci4">
    <w:name w:val="toc 4"/>
    <w:basedOn w:val="Normalny"/>
    <w:autoRedefine/>
    <w:uiPriority w:val="39"/>
    <w:semiHidden/>
    <w:unhideWhenUsed/>
    <w:rsid w:val="005924B0"/>
    <w:pPr>
      <w:overflowPunct w:val="0"/>
      <w:autoSpaceDE w:val="0"/>
      <w:autoSpaceDN w:val="0"/>
      <w:spacing w:after="0" w:line="240" w:lineRule="auto"/>
      <w:ind w:left="600"/>
    </w:pPr>
    <w:rPr>
      <w:rFonts w:ascii="Times New Roman" w:eastAsiaTheme="minorEastAsia" w:hAnsi="Times New Roman" w:cs="Times New Roman"/>
      <w:sz w:val="18"/>
      <w:szCs w:val="18"/>
      <w:lang w:eastAsia="pl-PL"/>
    </w:rPr>
  </w:style>
  <w:style w:type="paragraph" w:styleId="Spistreci5">
    <w:name w:val="toc 5"/>
    <w:basedOn w:val="Normalny"/>
    <w:autoRedefine/>
    <w:uiPriority w:val="39"/>
    <w:semiHidden/>
    <w:unhideWhenUsed/>
    <w:rsid w:val="005924B0"/>
    <w:pPr>
      <w:overflowPunct w:val="0"/>
      <w:autoSpaceDE w:val="0"/>
      <w:autoSpaceDN w:val="0"/>
      <w:spacing w:after="0" w:line="240" w:lineRule="auto"/>
      <w:ind w:left="800"/>
    </w:pPr>
    <w:rPr>
      <w:rFonts w:ascii="Times New Roman" w:eastAsiaTheme="minorEastAsia" w:hAnsi="Times New Roman" w:cs="Times New Roman"/>
      <w:sz w:val="18"/>
      <w:szCs w:val="18"/>
      <w:lang w:eastAsia="pl-PL"/>
    </w:rPr>
  </w:style>
  <w:style w:type="paragraph" w:styleId="Spistreci6">
    <w:name w:val="toc 6"/>
    <w:basedOn w:val="Normalny"/>
    <w:autoRedefine/>
    <w:uiPriority w:val="39"/>
    <w:semiHidden/>
    <w:unhideWhenUsed/>
    <w:rsid w:val="005924B0"/>
    <w:pPr>
      <w:overflowPunct w:val="0"/>
      <w:autoSpaceDE w:val="0"/>
      <w:autoSpaceDN w:val="0"/>
      <w:spacing w:after="0" w:line="240" w:lineRule="auto"/>
      <w:ind w:left="1000"/>
    </w:pPr>
    <w:rPr>
      <w:rFonts w:ascii="Times New Roman" w:eastAsiaTheme="minorEastAsia" w:hAnsi="Times New Roman" w:cs="Times New Roman"/>
      <w:sz w:val="18"/>
      <w:szCs w:val="18"/>
      <w:lang w:eastAsia="pl-PL"/>
    </w:rPr>
  </w:style>
  <w:style w:type="paragraph" w:styleId="Spistreci7">
    <w:name w:val="toc 7"/>
    <w:basedOn w:val="Normalny"/>
    <w:autoRedefine/>
    <w:uiPriority w:val="39"/>
    <w:semiHidden/>
    <w:unhideWhenUsed/>
    <w:rsid w:val="005924B0"/>
    <w:pPr>
      <w:overflowPunct w:val="0"/>
      <w:autoSpaceDE w:val="0"/>
      <w:autoSpaceDN w:val="0"/>
      <w:spacing w:after="0" w:line="240" w:lineRule="auto"/>
      <w:ind w:left="1200"/>
    </w:pPr>
    <w:rPr>
      <w:rFonts w:ascii="Times New Roman" w:eastAsiaTheme="minorEastAsia" w:hAnsi="Times New Roman" w:cs="Times New Roman"/>
      <w:sz w:val="18"/>
      <w:szCs w:val="18"/>
      <w:lang w:eastAsia="pl-PL"/>
    </w:rPr>
  </w:style>
  <w:style w:type="paragraph" w:styleId="Spistreci8">
    <w:name w:val="toc 8"/>
    <w:basedOn w:val="Normalny"/>
    <w:autoRedefine/>
    <w:uiPriority w:val="39"/>
    <w:semiHidden/>
    <w:unhideWhenUsed/>
    <w:rsid w:val="005924B0"/>
    <w:pPr>
      <w:overflowPunct w:val="0"/>
      <w:autoSpaceDE w:val="0"/>
      <w:autoSpaceDN w:val="0"/>
      <w:spacing w:after="0" w:line="240" w:lineRule="auto"/>
      <w:ind w:left="1400"/>
    </w:pPr>
    <w:rPr>
      <w:rFonts w:ascii="Times New Roman" w:eastAsiaTheme="minorEastAsia" w:hAnsi="Times New Roman" w:cs="Times New Roman"/>
      <w:sz w:val="18"/>
      <w:szCs w:val="18"/>
      <w:lang w:eastAsia="pl-PL"/>
    </w:rPr>
  </w:style>
  <w:style w:type="paragraph" w:styleId="Spistreci9">
    <w:name w:val="toc 9"/>
    <w:basedOn w:val="Normalny"/>
    <w:autoRedefine/>
    <w:uiPriority w:val="39"/>
    <w:semiHidden/>
    <w:unhideWhenUsed/>
    <w:rsid w:val="005924B0"/>
    <w:pPr>
      <w:overflowPunct w:val="0"/>
      <w:autoSpaceDE w:val="0"/>
      <w:autoSpaceDN w:val="0"/>
      <w:spacing w:after="0" w:line="240" w:lineRule="auto"/>
      <w:ind w:left="1600"/>
    </w:pPr>
    <w:rPr>
      <w:rFonts w:ascii="Times New Roman" w:eastAsiaTheme="minorEastAsia" w:hAnsi="Times New Roman" w:cs="Times New Roman"/>
      <w:sz w:val="18"/>
      <w:szCs w:val="18"/>
      <w:lang w:eastAsia="pl-PL"/>
    </w:rPr>
  </w:style>
  <w:style w:type="paragraph" w:styleId="Wcicienormalne">
    <w:name w:val="Normal Indent"/>
    <w:basedOn w:val="Normalny"/>
    <w:uiPriority w:val="99"/>
    <w:semiHidden/>
    <w:unhideWhenUsed/>
    <w:rsid w:val="005924B0"/>
    <w:pPr>
      <w:spacing w:before="120" w:after="120" w:line="240" w:lineRule="auto"/>
      <w:ind w:left="720"/>
      <w:jc w:val="both"/>
    </w:pPr>
    <w:rPr>
      <w:rFonts w:ascii="Times New Roman" w:eastAsiaTheme="minorEastAsia"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5924B0"/>
    <w:pPr>
      <w:overflowPunct w:val="0"/>
      <w:autoSpaceDE w:val="0"/>
      <w:autoSpaceDN w:val="0"/>
      <w:spacing w:after="0" w:line="240" w:lineRule="auto"/>
      <w:jc w:val="both"/>
    </w:pPr>
    <w:rPr>
      <w:rFonts w:ascii="Times New Roman" w:eastAsiaTheme="minorEastAsia" w:hAnsi="Times New Roman" w:cs="Times New Roman"/>
      <w:sz w:val="24"/>
      <w:szCs w:val="24"/>
      <w:lang w:eastAsia="pl-PL"/>
    </w:rPr>
  </w:style>
  <w:style w:type="character" w:customStyle="1" w:styleId="TekstprzypisudolnegoZnak">
    <w:name w:val="Tekst przypisu dolnego Znak"/>
    <w:basedOn w:val="Domylnaczcionkaakapitu"/>
    <w:link w:val="Tekstprzypisudolnego"/>
    <w:uiPriority w:val="99"/>
    <w:semiHidden/>
    <w:rsid w:val="005924B0"/>
    <w:rPr>
      <w:rFonts w:ascii="Times New Roman" w:eastAsiaTheme="minorEastAsia" w:hAnsi="Times New Roman" w:cs="Times New Roman"/>
      <w:sz w:val="24"/>
      <w:szCs w:val="24"/>
      <w:lang w:eastAsia="pl-PL"/>
    </w:rPr>
  </w:style>
  <w:style w:type="paragraph" w:styleId="Nagwek">
    <w:name w:val="header"/>
    <w:basedOn w:val="Normalny"/>
    <w:link w:val="NagwekZnak"/>
    <w:uiPriority w:val="99"/>
    <w:semiHidden/>
    <w:unhideWhenUsed/>
    <w:rsid w:val="005924B0"/>
    <w:pPr>
      <w:overflowPunct w:val="0"/>
      <w:autoSpaceDE w:val="0"/>
      <w:autoSpaceDN w:val="0"/>
      <w:spacing w:after="0" w:line="240" w:lineRule="auto"/>
    </w:pPr>
    <w:rPr>
      <w:rFonts w:ascii="Century Gothic" w:eastAsiaTheme="minorEastAsia" w:hAnsi="Century Gothic" w:cs="Times New Roman"/>
      <w:sz w:val="24"/>
      <w:szCs w:val="24"/>
      <w:lang w:eastAsia="pl-PL"/>
    </w:rPr>
  </w:style>
  <w:style w:type="character" w:customStyle="1" w:styleId="NagwekZnak">
    <w:name w:val="Nagłówek Znak"/>
    <w:basedOn w:val="Domylnaczcionkaakapitu"/>
    <w:link w:val="Nagwek"/>
    <w:uiPriority w:val="99"/>
    <w:semiHidden/>
    <w:rsid w:val="005924B0"/>
    <w:rPr>
      <w:rFonts w:ascii="Century Gothic" w:eastAsiaTheme="minorEastAsia" w:hAnsi="Century Gothic" w:cs="Times New Roman"/>
      <w:sz w:val="24"/>
      <w:szCs w:val="24"/>
      <w:lang w:eastAsia="pl-PL"/>
    </w:rPr>
  </w:style>
  <w:style w:type="paragraph" w:styleId="Stopka">
    <w:name w:val="footer"/>
    <w:basedOn w:val="Normalny"/>
    <w:link w:val="StopkaZnak"/>
    <w:uiPriority w:val="99"/>
    <w:semiHidden/>
    <w:unhideWhenUsed/>
    <w:rsid w:val="005924B0"/>
    <w:pPr>
      <w:overflowPunct w:val="0"/>
      <w:autoSpaceDE w:val="0"/>
      <w:autoSpaceDN w:val="0"/>
      <w:spacing w:after="0" w:line="240" w:lineRule="auto"/>
      <w:jc w:val="both"/>
    </w:pPr>
    <w:rPr>
      <w:rFonts w:ascii="Times New Roman" w:eastAsiaTheme="minorEastAsia" w:hAnsi="Times New Roman" w:cs="Times New Roman"/>
      <w:sz w:val="24"/>
      <w:szCs w:val="24"/>
      <w:lang w:eastAsia="pl-PL"/>
    </w:rPr>
  </w:style>
  <w:style w:type="character" w:customStyle="1" w:styleId="StopkaZnak">
    <w:name w:val="Stopka Znak"/>
    <w:basedOn w:val="Domylnaczcionkaakapitu"/>
    <w:link w:val="Stopka"/>
    <w:uiPriority w:val="99"/>
    <w:semiHidden/>
    <w:rsid w:val="005924B0"/>
    <w:rPr>
      <w:rFonts w:ascii="Times New Roman" w:eastAsiaTheme="minorEastAsia" w:hAnsi="Times New Roman" w:cs="Times New Roman"/>
      <w:sz w:val="24"/>
      <w:szCs w:val="24"/>
      <w:lang w:eastAsia="pl-PL"/>
    </w:rPr>
  </w:style>
  <w:style w:type="paragraph" w:styleId="Listapunktowana">
    <w:name w:val="List Bullet"/>
    <w:basedOn w:val="Normalny"/>
    <w:uiPriority w:val="99"/>
    <w:semiHidden/>
    <w:unhideWhenUsed/>
    <w:rsid w:val="005924B0"/>
    <w:pPr>
      <w:numPr>
        <w:numId w:val="1"/>
      </w:numPr>
      <w:tabs>
        <w:tab w:val="clear" w:pos="360"/>
      </w:tabs>
      <w:spacing w:after="0" w:line="360" w:lineRule="auto"/>
    </w:pPr>
    <w:rPr>
      <w:rFonts w:ascii="Times New Roman" w:eastAsiaTheme="minorEastAsia" w:hAnsi="Times New Roman" w:cs="Times New Roman"/>
      <w:sz w:val="24"/>
      <w:szCs w:val="24"/>
      <w:lang w:eastAsia="pl-PL"/>
    </w:rPr>
  </w:style>
  <w:style w:type="paragraph" w:styleId="Tekstpodstawowy">
    <w:name w:val="Body Text"/>
    <w:basedOn w:val="Normalny"/>
    <w:link w:val="TekstpodstawowyZnak"/>
    <w:uiPriority w:val="99"/>
    <w:semiHidden/>
    <w:unhideWhenUsed/>
    <w:rsid w:val="005924B0"/>
    <w:pPr>
      <w:spacing w:after="0" w:line="360" w:lineRule="auto"/>
    </w:pPr>
    <w:rPr>
      <w:rFonts w:ascii="Times New Roman" w:eastAsiaTheme="minorEastAsia"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rsid w:val="005924B0"/>
    <w:rPr>
      <w:rFonts w:ascii="Times New Roman" w:eastAsiaTheme="minorEastAsia" w:hAnsi="Times New Roman" w:cs="Times New Roman"/>
      <w:sz w:val="24"/>
      <w:szCs w:val="24"/>
      <w:lang w:eastAsia="pl-PL"/>
    </w:rPr>
  </w:style>
  <w:style w:type="paragraph" w:styleId="Tekstpodstawowywcity">
    <w:name w:val="Body Text Indent"/>
    <w:basedOn w:val="Normalny"/>
    <w:link w:val="TekstpodstawowywcityZnak"/>
    <w:uiPriority w:val="99"/>
    <w:semiHidden/>
    <w:unhideWhenUsed/>
    <w:rsid w:val="005924B0"/>
    <w:pPr>
      <w:spacing w:after="0" w:line="360" w:lineRule="auto"/>
      <w:ind w:left="1418" w:hanging="1418"/>
    </w:pPr>
    <w:rPr>
      <w:rFonts w:ascii="Times New Roman" w:eastAsiaTheme="minorEastAsia" w:hAnsi="Times New Roman" w:cs="Times New Roman"/>
      <w:b/>
      <w:bCs/>
      <w:sz w:val="24"/>
      <w:szCs w:val="24"/>
      <w:lang w:eastAsia="pl-PL"/>
    </w:rPr>
  </w:style>
  <w:style w:type="character" w:customStyle="1" w:styleId="TekstpodstawowywcityZnak">
    <w:name w:val="Tekst podstawowy wcięty Znak"/>
    <w:basedOn w:val="Domylnaczcionkaakapitu"/>
    <w:link w:val="Tekstpodstawowywcity"/>
    <w:uiPriority w:val="99"/>
    <w:semiHidden/>
    <w:rsid w:val="005924B0"/>
    <w:rPr>
      <w:rFonts w:ascii="Times New Roman" w:eastAsiaTheme="minorEastAsia" w:hAnsi="Times New Roman" w:cs="Times New Roman"/>
      <w:b/>
      <w:bCs/>
      <w:sz w:val="24"/>
      <w:szCs w:val="24"/>
      <w:lang w:eastAsia="pl-PL"/>
    </w:rPr>
  </w:style>
  <w:style w:type="paragraph" w:styleId="Tekstpodstawowy2">
    <w:name w:val="Body Text 2"/>
    <w:basedOn w:val="Normalny"/>
    <w:link w:val="Tekstpodstawowy2Znak"/>
    <w:uiPriority w:val="99"/>
    <w:semiHidden/>
    <w:unhideWhenUsed/>
    <w:rsid w:val="005924B0"/>
    <w:pPr>
      <w:overflowPunct w:val="0"/>
      <w:autoSpaceDE w:val="0"/>
      <w:autoSpaceDN w:val="0"/>
      <w:spacing w:after="120" w:line="480" w:lineRule="auto"/>
      <w:jc w:val="both"/>
    </w:pPr>
    <w:rPr>
      <w:rFonts w:ascii="Times New Roman" w:eastAsiaTheme="minorEastAsia"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5924B0"/>
    <w:rPr>
      <w:rFonts w:ascii="Times New Roman" w:eastAsiaTheme="minorEastAsia" w:hAnsi="Times New Roman" w:cs="Times New Roman"/>
      <w:sz w:val="24"/>
      <w:szCs w:val="24"/>
      <w:lang w:eastAsia="pl-PL"/>
    </w:rPr>
  </w:style>
  <w:style w:type="paragraph" w:styleId="Tekstpodstawowy3">
    <w:name w:val="Body Text 3"/>
    <w:basedOn w:val="Normalny"/>
    <w:link w:val="Tekstpodstawowy3Znak"/>
    <w:uiPriority w:val="99"/>
    <w:semiHidden/>
    <w:unhideWhenUsed/>
    <w:rsid w:val="005924B0"/>
    <w:pPr>
      <w:spacing w:after="120" w:line="240" w:lineRule="auto"/>
    </w:pPr>
    <w:rPr>
      <w:rFonts w:ascii="Times New Roman" w:eastAsiaTheme="minorEastAsia"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semiHidden/>
    <w:rsid w:val="005924B0"/>
    <w:rPr>
      <w:rFonts w:ascii="Times New Roman" w:eastAsiaTheme="minorEastAsia" w:hAnsi="Times New Roman" w:cs="Times New Roman"/>
      <w:sz w:val="16"/>
      <w:szCs w:val="16"/>
      <w:lang w:eastAsia="pl-PL"/>
    </w:rPr>
  </w:style>
  <w:style w:type="paragraph" w:styleId="Tekstpodstawowywcity2">
    <w:name w:val="Body Text Indent 2"/>
    <w:basedOn w:val="Normalny"/>
    <w:link w:val="Tekstpodstawowywcity2Znak"/>
    <w:uiPriority w:val="99"/>
    <w:semiHidden/>
    <w:unhideWhenUsed/>
    <w:rsid w:val="005924B0"/>
    <w:pPr>
      <w:overflowPunct w:val="0"/>
      <w:autoSpaceDE w:val="0"/>
      <w:autoSpaceDN w:val="0"/>
      <w:spacing w:after="120" w:line="480" w:lineRule="auto"/>
      <w:ind w:left="283"/>
      <w:jc w:val="both"/>
    </w:pPr>
    <w:rPr>
      <w:rFonts w:ascii="Times New Roman" w:eastAsiaTheme="minorEastAsia"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semiHidden/>
    <w:rsid w:val="005924B0"/>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5924B0"/>
    <w:pPr>
      <w:spacing w:before="60" w:after="0" w:line="240" w:lineRule="auto"/>
      <w:jc w:val="both"/>
    </w:pPr>
    <w:rPr>
      <w:rFonts w:ascii="Times New Roman" w:eastAsiaTheme="minorEastAsia" w:hAnsi="Times New Roman" w:cs="Times New Roman"/>
      <w:sz w:val="24"/>
      <w:szCs w:val="24"/>
      <w:lang w:eastAsia="pl-PL"/>
    </w:rPr>
  </w:style>
  <w:style w:type="character" w:customStyle="1" w:styleId="Tekstpodstawowywcity3Znak">
    <w:name w:val="Tekst podstawowy wcięty 3 Znak"/>
    <w:basedOn w:val="Domylnaczcionkaakapitu"/>
    <w:link w:val="Tekstpodstawowywcity3"/>
    <w:uiPriority w:val="99"/>
    <w:semiHidden/>
    <w:rsid w:val="005924B0"/>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5924B0"/>
    <w:pPr>
      <w:overflowPunct w:val="0"/>
      <w:autoSpaceDE w:val="0"/>
      <w:autoSpaceDN w:val="0"/>
      <w:spacing w:after="0" w:line="240" w:lineRule="auto"/>
      <w:jc w:val="both"/>
    </w:pPr>
    <w:rPr>
      <w:rFonts w:ascii="Tahoma" w:eastAsiaTheme="minorEastAsia" w:hAnsi="Tahoma" w:cs="Tahoma"/>
      <w:sz w:val="16"/>
      <w:szCs w:val="16"/>
      <w:lang w:eastAsia="pl-PL"/>
    </w:rPr>
  </w:style>
  <w:style w:type="character" w:customStyle="1" w:styleId="TekstdymkaZnak">
    <w:name w:val="Tekst dymka Znak"/>
    <w:basedOn w:val="Domylnaczcionkaakapitu"/>
    <w:link w:val="Tekstdymka"/>
    <w:uiPriority w:val="99"/>
    <w:semiHidden/>
    <w:rsid w:val="005924B0"/>
    <w:rPr>
      <w:rFonts w:ascii="Tahoma" w:eastAsiaTheme="minorEastAsia" w:hAnsi="Tahoma" w:cs="Tahoma"/>
      <w:sz w:val="16"/>
      <w:szCs w:val="16"/>
      <w:lang w:eastAsia="pl-PL"/>
    </w:rPr>
  </w:style>
  <w:style w:type="paragraph" w:styleId="Akapitzlist">
    <w:name w:val="List Paragraph"/>
    <w:basedOn w:val="Normalny"/>
    <w:uiPriority w:val="34"/>
    <w:qFormat/>
    <w:rsid w:val="005924B0"/>
    <w:pPr>
      <w:spacing w:before="120" w:after="120" w:line="240" w:lineRule="auto"/>
      <w:ind w:left="720"/>
      <w:jc w:val="both"/>
    </w:pPr>
    <w:rPr>
      <w:rFonts w:ascii="Times New Roman" w:eastAsiaTheme="minorEastAsia" w:hAnsi="Times New Roman" w:cs="Times New Roman"/>
      <w:sz w:val="24"/>
      <w:szCs w:val="24"/>
      <w:lang w:eastAsia="pl-PL"/>
    </w:rPr>
  </w:style>
  <w:style w:type="paragraph" w:customStyle="1" w:styleId="msolistparagraphcxspfirst">
    <w:name w:val="msolistparagraphcxspfirst"/>
    <w:basedOn w:val="Normalny"/>
    <w:rsid w:val="005924B0"/>
    <w:pPr>
      <w:spacing w:before="120" w:after="0" w:line="240" w:lineRule="auto"/>
      <w:ind w:left="720"/>
      <w:jc w:val="both"/>
    </w:pPr>
    <w:rPr>
      <w:rFonts w:ascii="Times New Roman" w:eastAsiaTheme="minorEastAsia" w:hAnsi="Times New Roman" w:cs="Times New Roman"/>
      <w:sz w:val="24"/>
      <w:szCs w:val="24"/>
      <w:lang w:eastAsia="pl-PL"/>
    </w:rPr>
  </w:style>
  <w:style w:type="paragraph" w:customStyle="1" w:styleId="msolistparagraphcxspmiddle">
    <w:name w:val="msolistparagraphcxspmiddle"/>
    <w:basedOn w:val="Normalny"/>
    <w:rsid w:val="005924B0"/>
    <w:pPr>
      <w:spacing w:after="0" w:line="240" w:lineRule="auto"/>
      <w:ind w:left="720"/>
      <w:jc w:val="both"/>
    </w:pPr>
    <w:rPr>
      <w:rFonts w:ascii="Times New Roman" w:eastAsiaTheme="minorEastAsia" w:hAnsi="Times New Roman" w:cs="Times New Roman"/>
      <w:sz w:val="24"/>
      <w:szCs w:val="24"/>
      <w:lang w:eastAsia="pl-PL"/>
    </w:rPr>
  </w:style>
  <w:style w:type="paragraph" w:customStyle="1" w:styleId="msolistparagraphcxsplast">
    <w:name w:val="msolistparagraphcxsplast"/>
    <w:basedOn w:val="Normalny"/>
    <w:rsid w:val="005924B0"/>
    <w:pPr>
      <w:spacing w:after="120" w:line="240" w:lineRule="auto"/>
      <w:ind w:left="720"/>
      <w:jc w:val="both"/>
    </w:pPr>
    <w:rPr>
      <w:rFonts w:ascii="Times New Roman" w:eastAsiaTheme="minorEastAsia" w:hAnsi="Times New Roman" w:cs="Times New Roman"/>
      <w:sz w:val="24"/>
      <w:szCs w:val="24"/>
      <w:lang w:eastAsia="pl-PL"/>
    </w:rPr>
  </w:style>
  <w:style w:type="paragraph" w:customStyle="1" w:styleId="Standardowytekst">
    <w:name w:val="Standardowy.tekst"/>
    <w:basedOn w:val="Normalny"/>
    <w:rsid w:val="005924B0"/>
    <w:pPr>
      <w:overflowPunct w:val="0"/>
      <w:autoSpaceDE w:val="0"/>
      <w:autoSpaceDN w:val="0"/>
      <w:spacing w:after="0" w:line="240" w:lineRule="auto"/>
      <w:jc w:val="both"/>
    </w:pPr>
    <w:rPr>
      <w:rFonts w:ascii="Times New Roman" w:eastAsiaTheme="minorEastAsia" w:hAnsi="Times New Roman" w:cs="Times New Roman"/>
      <w:sz w:val="20"/>
      <w:szCs w:val="20"/>
      <w:lang w:eastAsia="pl-PL"/>
    </w:rPr>
  </w:style>
  <w:style w:type="paragraph" w:customStyle="1" w:styleId="10">
    <w:name w:val="_10"/>
    <w:basedOn w:val="Normalny"/>
    <w:rsid w:val="005924B0"/>
    <w:pPr>
      <w:spacing w:after="0" w:line="240" w:lineRule="auto"/>
      <w:jc w:val="both"/>
    </w:pPr>
    <w:rPr>
      <w:rFonts w:ascii="Times New Roman" w:eastAsiaTheme="minorEastAsia" w:hAnsi="Times New Roman" w:cs="Times New Roman"/>
      <w:sz w:val="24"/>
      <w:szCs w:val="24"/>
      <w:lang w:eastAsia="pl-PL"/>
    </w:rPr>
  </w:style>
  <w:style w:type="paragraph" w:customStyle="1" w:styleId="Styl12ptWyjustowany">
    <w:name w:val="Styl 12 pt Wyjustowany"/>
    <w:basedOn w:val="Normalny"/>
    <w:rsid w:val="005924B0"/>
    <w:pPr>
      <w:spacing w:after="0" w:line="240" w:lineRule="auto"/>
      <w:jc w:val="both"/>
    </w:pPr>
    <w:rPr>
      <w:rFonts w:ascii="Times New Roman" w:eastAsiaTheme="minorEastAsia" w:hAnsi="Times New Roman" w:cs="Times New Roman"/>
      <w:sz w:val="24"/>
      <w:szCs w:val="24"/>
      <w:lang w:eastAsia="pl-PL"/>
    </w:rPr>
  </w:style>
  <w:style w:type="paragraph" w:customStyle="1" w:styleId="StylIwony">
    <w:name w:val="Styl Iwony"/>
    <w:basedOn w:val="Normalny"/>
    <w:rsid w:val="005924B0"/>
    <w:pPr>
      <w:overflowPunct w:val="0"/>
      <w:autoSpaceDE w:val="0"/>
      <w:autoSpaceDN w:val="0"/>
      <w:spacing w:before="120" w:after="120" w:line="240" w:lineRule="auto"/>
      <w:jc w:val="both"/>
    </w:pPr>
    <w:rPr>
      <w:rFonts w:ascii="Bookman Old Style" w:eastAsiaTheme="minorEastAsia" w:hAnsi="Bookman Old Style" w:cs="Times New Roman"/>
      <w:sz w:val="24"/>
      <w:szCs w:val="24"/>
      <w:lang w:eastAsia="pl-PL"/>
    </w:rPr>
  </w:style>
  <w:style w:type="paragraph" w:customStyle="1" w:styleId="tekstost">
    <w:name w:val="tekst ost"/>
    <w:basedOn w:val="Normalny"/>
    <w:rsid w:val="005924B0"/>
    <w:pPr>
      <w:overflowPunct w:val="0"/>
      <w:autoSpaceDE w:val="0"/>
      <w:autoSpaceDN w:val="0"/>
      <w:spacing w:after="0" w:line="240" w:lineRule="auto"/>
      <w:jc w:val="both"/>
    </w:pPr>
    <w:rPr>
      <w:rFonts w:ascii="Times New Roman" w:eastAsiaTheme="minorEastAsia" w:hAnsi="Times New Roman" w:cs="Times New Roman"/>
      <w:sz w:val="20"/>
      <w:szCs w:val="20"/>
      <w:lang w:eastAsia="pl-PL"/>
    </w:rPr>
  </w:style>
  <w:style w:type="character" w:styleId="Odwoanieprzypisudolnego">
    <w:name w:val="footnote reference"/>
    <w:basedOn w:val="Domylnaczcionkaakapitu"/>
    <w:uiPriority w:val="99"/>
    <w:semiHidden/>
    <w:unhideWhenUsed/>
    <w:rsid w:val="005924B0"/>
    <w:rPr>
      <w:vertAlign w:val="superscript"/>
    </w:rPr>
  </w:style>
  <w:style w:type="character" w:customStyle="1" w:styleId="value">
    <w:name w:val="value"/>
    <w:basedOn w:val="Domylnaczcionkaakapitu"/>
    <w:rsid w:val="00592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982481">
      <w:bodyDiv w:val="1"/>
      <w:marLeft w:val="0"/>
      <w:marRight w:val="0"/>
      <w:marTop w:val="0"/>
      <w:marBottom w:val="0"/>
      <w:divBdr>
        <w:top w:val="none" w:sz="0" w:space="0" w:color="auto"/>
        <w:left w:val="none" w:sz="0" w:space="0" w:color="auto"/>
        <w:bottom w:val="none" w:sz="0" w:space="0" w:color="auto"/>
        <w:right w:val="none" w:sz="0" w:space="0" w:color="auto"/>
      </w:divBdr>
      <w:divsChild>
        <w:div w:id="1231310125">
          <w:marLeft w:val="0"/>
          <w:marRight w:val="0"/>
          <w:marTop w:val="0"/>
          <w:marBottom w:val="0"/>
          <w:divBdr>
            <w:top w:val="none" w:sz="0" w:space="0" w:color="auto"/>
            <w:left w:val="none" w:sz="0" w:space="0" w:color="auto"/>
            <w:bottom w:val="single" w:sz="8" w:space="1" w:color="auto"/>
            <w:right w:val="none" w:sz="0" w:space="0" w:color="auto"/>
          </w:divBdr>
        </w:div>
        <w:div w:id="1483766770">
          <w:marLeft w:val="0"/>
          <w:marRight w:val="0"/>
          <w:marTop w:val="0"/>
          <w:marBottom w:val="0"/>
          <w:divBdr>
            <w:top w:val="single" w:sz="8" w:space="1" w:color="auto"/>
            <w:left w:val="none" w:sz="0" w:space="0" w:color="auto"/>
            <w:bottom w:val="none" w:sz="0" w:space="0" w:color="auto"/>
            <w:right w:val="none" w:sz="0" w:space="0" w:color="auto"/>
          </w:divBdr>
        </w:div>
        <w:div w:id="1063873131">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serwer-1\dzial%20IR\Og&#243;lne%20Specyfikacje%20Techniczne%20-%202018\Inwestycyjne%20wer.%202.32\ost\Podbudowy\d040701a2016.htm" TargetMode="External"/><Relationship Id="rId13" Type="http://schemas.openxmlformats.org/officeDocument/2006/relationships/hyperlink" Target="file:///\\serwer-1\dzial%20IR\Og&#243;lne%20Specyfikacje%20Techniczne%20-%202018\Inwestycyjne%20wer.%202.32\ost\Podbudowy\d040701a2016.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serwer-1\dzial%20IR\Og&#243;lne%20Specyfikacje%20Techniczne%20-%202018\Inwestycyjne%20wer.%202.32\ost\Podbudowy\d040701a2016.htm" TargetMode="External"/><Relationship Id="rId12" Type="http://schemas.openxmlformats.org/officeDocument/2006/relationships/hyperlink" Target="file:///\\serwer-1\dzial%20IR\Og&#243;lne%20Specyfikacje%20Techniczne%20-%202018\Inwestycyjne%20wer.%202.32\ost\Podbudowy\d040701a2016.htm" TargetMode="External"/><Relationship Id="rId17" Type="http://schemas.openxmlformats.org/officeDocument/2006/relationships/image" Target="media/image3.gif"/><Relationship Id="rId2" Type="http://schemas.openxmlformats.org/officeDocument/2006/relationships/styles" Target="styles.xml"/><Relationship Id="rId16" Type="http://schemas.openxmlformats.org/officeDocument/2006/relationships/image" Target="media/image2.gif"/><Relationship Id="rId1" Type="http://schemas.openxmlformats.org/officeDocument/2006/relationships/numbering" Target="numbering.xml"/><Relationship Id="rId6" Type="http://schemas.openxmlformats.org/officeDocument/2006/relationships/hyperlink" Target="file:///\\serwer-1\dzial%20IR\Og&#243;lne%20Specyfikacje%20Techniczne%20-%202018\Inwestycyjne%20wer.%202.32\ost\Podbudowy\d040701a2016.htm" TargetMode="External"/><Relationship Id="rId11" Type="http://schemas.openxmlformats.org/officeDocument/2006/relationships/hyperlink" Target="file:///\\serwer-1\dzial%20IR\Og&#243;lne%20Specyfikacje%20Techniczne%20-%202018\Inwestycyjne%20wer.%202.32\ost\Podbudowy\d040701a2016.htm" TargetMode="External"/><Relationship Id="rId5" Type="http://schemas.openxmlformats.org/officeDocument/2006/relationships/hyperlink" Target="file:///\\serwer-1\dzial%20IR\Og&#243;lne%20Specyfikacje%20Techniczne%20-%202018\Inwestycyjne%20wer.%202.32\ost\Podbudowy\d040701a2016.htm" TargetMode="External"/><Relationship Id="rId15" Type="http://schemas.openxmlformats.org/officeDocument/2006/relationships/image" Target="media/image1.jpeg"/><Relationship Id="rId10" Type="http://schemas.openxmlformats.org/officeDocument/2006/relationships/hyperlink" Target="file:///\\serwer-1\dzial%20IR\Og&#243;lne%20Specyfikacje%20Techniczne%20-%202018\Inwestycyjne%20wer.%202.32\ost\Podbudowy\d040701a2016.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serwer-1\dzial%20IR\Og&#243;lne%20Specyfikacje%20Techniczne%20-%202018\Inwestycyjne%20wer.%202.32\ost\Podbudowy\d040701a2016.htm" TargetMode="External"/><Relationship Id="rId14" Type="http://schemas.openxmlformats.org/officeDocument/2006/relationships/hyperlink" Target="file:///\\serwer-1\dzial%20IR\Og&#243;lne%20Specyfikacje%20Techniczne%20-%202018\Inwestycyjne%20wer.%202.32\ost\Podbudowy\d040701a2016.h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47</Pages>
  <Words>15602</Words>
  <Characters>93612</Characters>
  <Application>Microsoft Office Word</Application>
  <DocSecurity>0</DocSecurity>
  <Lines>780</Lines>
  <Paragraphs>217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dc:creator>
  <cp:keywords/>
  <dc:description/>
  <cp:lastModifiedBy>Piotr</cp:lastModifiedBy>
  <cp:revision>5</cp:revision>
  <dcterms:created xsi:type="dcterms:W3CDTF">2021-06-14T09:59:00Z</dcterms:created>
  <dcterms:modified xsi:type="dcterms:W3CDTF">2022-04-01T10:28:00Z</dcterms:modified>
</cp:coreProperties>
</file>